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21bis-e</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303517</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E-meeting,</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17 -26 April</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6</w:t>
      </w:r>
      <w:r>
        <w:rPr>
          <w:rFonts w:ascii="Arial" w:hAnsi="Arial" w:eastAsia="宋体" w:cs="Arial"/>
          <w:b/>
          <w:bCs/>
          <w:kern w:val="0"/>
          <w:sz w:val="24"/>
          <w:szCs w:val="20"/>
          <w:lang w:val="en-GB"/>
        </w:rPr>
        <w:t>.</w:t>
      </w:r>
      <w:r>
        <w:rPr>
          <w:rFonts w:hint="eastAsia" w:ascii="Arial" w:hAnsi="Arial" w:eastAsia="宋体" w:cs="Arial"/>
          <w:b/>
          <w:bCs/>
          <w:kern w:val="0"/>
          <w:sz w:val="24"/>
          <w:szCs w:val="20"/>
        </w:rPr>
        <w:t>2</w:t>
      </w:r>
      <w:r>
        <w:rPr>
          <w:rFonts w:hint="eastAsia" w:ascii="Arial" w:hAnsi="Arial" w:eastAsia="宋体" w:cs="Arial"/>
          <w:b/>
          <w:bCs/>
          <w:kern w:val="0"/>
          <w:sz w:val="24"/>
          <w:szCs w:val="20"/>
          <w:lang w:val="en-US" w:eastAsia="zh-CN"/>
        </w:rPr>
        <w:t>.1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rPr>
        <w:t>HARQ enhancement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In RAN</w:t>
      </w:r>
      <w:r>
        <w:rPr>
          <w:rFonts w:hint="eastAsia" w:ascii="Arial" w:hAnsi="Arial" w:eastAsia="宋体" w:cs="Arial"/>
          <w:kern w:val="0"/>
          <w:sz w:val="20"/>
          <w:szCs w:val="20"/>
        </w:rPr>
        <w:t>2</w:t>
      </w:r>
      <w:r>
        <w:rPr>
          <w:rFonts w:ascii="Arial" w:hAnsi="Arial" w:eastAsia="宋体" w:cs="Arial"/>
          <w:kern w:val="0"/>
          <w:sz w:val="20"/>
          <w:szCs w:val="20"/>
          <w:lang w:val="en-GB" w:eastAsia="en-US"/>
        </w:rPr>
        <w:t>#</w:t>
      </w:r>
      <w:r>
        <w:rPr>
          <w:rFonts w:hint="eastAsia" w:ascii="Arial" w:hAnsi="Arial" w:eastAsia="宋体" w:cs="Arial"/>
          <w:kern w:val="0"/>
          <w:sz w:val="20"/>
          <w:szCs w:val="20"/>
        </w:rPr>
        <w:t>1</w:t>
      </w:r>
      <w:r>
        <w:rPr>
          <w:rFonts w:hint="eastAsia" w:ascii="Arial" w:hAnsi="Arial" w:eastAsia="宋体" w:cs="Arial"/>
          <w:kern w:val="0"/>
          <w:sz w:val="20"/>
          <w:szCs w:val="20"/>
          <w:lang w:val="en-US" w:eastAsia="zh-CN"/>
        </w:rPr>
        <w:t>20</w:t>
      </w:r>
      <w:r>
        <w:rPr>
          <w:rFonts w:hint="eastAsia" w:ascii="Arial" w:hAnsi="Arial" w:eastAsia="宋体" w:cs="Arial"/>
          <w:kern w:val="0"/>
          <w:sz w:val="20"/>
          <w:szCs w:val="20"/>
          <w:lang w:val="en-GB"/>
        </w:rPr>
        <w:t xml:space="preserve"> </w:t>
      </w:r>
      <w:r>
        <w:rPr>
          <w:rFonts w:hint="eastAsia" w:ascii="Arial" w:hAnsi="Arial" w:eastAsia="宋体" w:cs="Arial"/>
          <w:kern w:val="0"/>
          <w:sz w:val="20"/>
          <w:szCs w:val="20"/>
        </w:rPr>
        <w:t>[1]</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the following agreements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on</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US" w:eastAsia="zh-CN"/>
        </w:rPr>
        <w:t>HARQ</w:t>
      </w:r>
      <w:r>
        <w:rPr>
          <w:rFonts w:hint="eastAsia" w:ascii="Arial" w:hAnsi="Arial" w:eastAsia="宋体" w:cs="Arial"/>
          <w:kern w:val="0"/>
          <w:sz w:val="20"/>
          <w:szCs w:val="20"/>
        </w:rPr>
        <w:t xml:space="preserve"> enhancements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are achieved</w:t>
      </w:r>
      <w:r>
        <w:rPr>
          <w:rFonts w:ascii="Arial" w:hAnsi="Arial" w:eastAsia="宋体" w:cs="Arial"/>
          <w:kern w:val="0"/>
          <w:sz w:val="20"/>
          <w:szCs w:val="20"/>
          <w:lang w:val="en-GB" w:eastAsia="en-US"/>
        </w:rPr>
        <w:t xml:space="preserve">: </w:t>
      </w:r>
    </w:p>
    <w:p>
      <w:pPr>
        <w:pStyle w:val="18"/>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Agreements:</w:t>
      </w:r>
    </w:p>
    <w:p>
      <w:pPr>
        <w:pStyle w:val="18"/>
        <w:keepNext w:val="0"/>
        <w:keepLines w:val="0"/>
        <w:pageBreakBefore w:val="0"/>
        <w:widowControl/>
        <w:numPr>
          <w:ilvl w:val="0"/>
          <w:numId w:val="1"/>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For NB-IoT NTN with single HARQ process when the HARQ feedback is disabled, the UE will start/restart drx-inactivity timer in the subframe containing the last repetition of the corresponding PDSCH reception plus 12 subframes.</w:t>
      </w:r>
    </w:p>
    <w:p>
      <w:pPr>
        <w:pStyle w:val="18"/>
        <w:keepNext w:val="0"/>
        <w:keepLines w:val="0"/>
        <w:pageBreakBefore w:val="0"/>
        <w:widowControl/>
        <w:numPr>
          <w:ilvl w:val="0"/>
          <w:numId w:val="1"/>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RAN2 understands that something needs to be added to consider the processing time also for inactivity timer of HARQ mode B. Continue the discussion on the details in the next meeting</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Agreements:</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1.</w:t>
      </w:r>
      <w:r>
        <w:rPr>
          <w:rFonts w:hint="default" w:ascii="Arial" w:hAnsi="Arial" w:cs="Arial"/>
          <w:sz w:val="20"/>
          <w:szCs w:val="20"/>
        </w:rPr>
        <w:tab/>
      </w:r>
      <w:r>
        <w:rPr>
          <w:rFonts w:hint="default" w:ascii="Arial" w:hAnsi="Arial" w:cs="Arial"/>
          <w:sz w:val="20"/>
          <w:szCs w:val="20"/>
        </w:rPr>
        <w:t xml:space="preserve">For eMTC, the following LCH to HARQ process mapping rules are supported: </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ab/>
      </w:r>
      <w:r>
        <w:rPr>
          <w:rFonts w:hint="default" w:ascii="Arial" w:hAnsi="Arial" w:cs="Arial"/>
          <w:sz w:val="20"/>
          <w:szCs w:val="20"/>
        </w:rPr>
        <w:t>1) LCH is mapped only to a HARQ process configured with HARQ mode A;</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ab/>
      </w:r>
      <w:r>
        <w:rPr>
          <w:rFonts w:hint="default" w:ascii="Arial" w:hAnsi="Arial" w:cs="Arial"/>
          <w:sz w:val="20"/>
          <w:szCs w:val="20"/>
        </w:rPr>
        <w:t>2) LCH is mapped only to a HARQ process configured with HARQ mode B;</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ab/>
      </w:r>
      <w:r>
        <w:rPr>
          <w:rFonts w:hint="default" w:ascii="Arial" w:hAnsi="Arial" w:cs="Arial"/>
          <w:sz w:val="20"/>
          <w:szCs w:val="20"/>
        </w:rPr>
        <w:t>3) If an LCH is not configured with a mapping rule, it may be mapped to any HARQ process (HARQ mode A or B).</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ab/>
      </w:r>
      <w:r>
        <w:rPr>
          <w:rFonts w:hint="default" w:ascii="Arial" w:hAnsi="Arial" w:cs="Arial"/>
          <w:sz w:val="20"/>
          <w:szCs w:val="20"/>
        </w:rPr>
        <w:t>4) If UL HARQ mode is not configured, LCH mapping rules are not supported (legacy behaviour)</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2.</w:t>
      </w:r>
      <w:r>
        <w:rPr>
          <w:rFonts w:hint="default" w:ascii="Arial" w:hAnsi="Arial" w:cs="Arial"/>
          <w:sz w:val="20"/>
          <w:szCs w:val="20"/>
        </w:rPr>
        <w:tab/>
      </w:r>
      <w:r>
        <w:rPr>
          <w:rFonts w:hint="default" w:ascii="Arial" w:hAnsi="Arial" w:cs="Arial"/>
          <w:sz w:val="20"/>
          <w:szCs w:val="20"/>
        </w:rPr>
        <w:t>For eMTC, introduce allowedHARQ-mode for each logical channel, e.g. included in LogicalChannelConfig IE.</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Agreements:</w:t>
      </w:r>
    </w:p>
    <w:p>
      <w:pPr>
        <w:pStyle w:val="18"/>
        <w:keepNext w:val="0"/>
        <w:keepLines w:val="0"/>
        <w:pageBreakBefore w:val="0"/>
        <w:widowControl/>
        <w:numPr>
          <w:ilvl w:val="0"/>
          <w:numId w:val="2"/>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An optional UE capability is introduced to indicate whether the UE supports disabling HARQ feedback for downlink transmission.</w:t>
      </w:r>
    </w:p>
    <w:p>
      <w:pPr>
        <w:pStyle w:val="18"/>
        <w:keepNext w:val="0"/>
        <w:keepLines w:val="0"/>
        <w:pageBreakBefore w:val="0"/>
        <w:widowControl/>
        <w:numPr>
          <w:ilvl w:val="0"/>
          <w:numId w:val="2"/>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 xml:space="preserve">An optional UE capability is introduced to indicate whether the UE supports HARQ Mode B and, </w:t>
      </w:r>
      <w:r>
        <w:rPr>
          <w:rFonts w:hint="default" w:ascii="Arial" w:hAnsi="Arial" w:cs="Arial"/>
          <w:sz w:val="20"/>
          <w:szCs w:val="20"/>
          <w:highlight w:val="none"/>
        </w:rPr>
        <w:t>for eMTC,</w:t>
      </w:r>
      <w:r>
        <w:rPr>
          <w:rFonts w:hint="default" w:ascii="Arial" w:hAnsi="Arial" w:cs="Arial"/>
          <w:sz w:val="20"/>
          <w:szCs w:val="20"/>
        </w:rPr>
        <w:t xml:space="preserve"> the corresponding LCP restrictions for uplink transmission</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ascii="Arial" w:hAnsi="Arial" w:eastAsia="宋体" w:cs="Arial"/>
          <w:kern w:val="0"/>
          <w:sz w:val="20"/>
          <w:szCs w:val="20"/>
          <w:lang w:val="en-GB"/>
        </w:rPr>
      </w:pPr>
      <w:r>
        <w:rPr>
          <w:rFonts w:ascii="Arial" w:hAnsi="Arial" w:eastAsia="宋体" w:cs="Arial"/>
          <w:kern w:val="0"/>
          <w:sz w:val="20"/>
          <w:szCs w:val="20"/>
          <w:lang w:val="en-GB"/>
        </w:rPr>
        <w:t xml:space="preserve">This contribution will discuss the </w:t>
      </w:r>
      <w:r>
        <w:rPr>
          <w:rFonts w:hint="eastAsia" w:ascii="Arial" w:hAnsi="Arial" w:eastAsia="宋体" w:cs="Arial"/>
          <w:kern w:val="0"/>
          <w:sz w:val="20"/>
          <w:szCs w:val="20"/>
          <w:lang w:val="en-US" w:eastAsia="zh-CN"/>
        </w:rPr>
        <w:t>remaining issues on</w:t>
      </w:r>
      <w:r>
        <w:rPr>
          <w:rFonts w:ascii="Arial" w:hAnsi="Arial" w:eastAsia="宋体" w:cs="Arial"/>
          <w:kern w:val="0"/>
          <w:sz w:val="20"/>
          <w:szCs w:val="20"/>
          <w:lang w:val="en-GB"/>
        </w:rPr>
        <w:t xml:space="preserve"> </w:t>
      </w:r>
      <w:r>
        <w:rPr>
          <w:rFonts w:hint="eastAsia" w:ascii="Arial" w:hAnsi="Arial" w:eastAsia="宋体" w:cs="Arial"/>
          <w:kern w:val="0"/>
          <w:sz w:val="20"/>
          <w:szCs w:val="20"/>
        </w:rPr>
        <w:t>HARQ enhancements for IoT-NTN</w:t>
      </w:r>
      <w:r>
        <w:rPr>
          <w:rFonts w:ascii="Arial" w:hAnsi="Arial" w:eastAsia="宋体" w:cs="Arial"/>
          <w:kern w:val="0"/>
          <w:sz w:val="20"/>
          <w:szCs w:val="20"/>
          <w:lang w:val="en-GB"/>
        </w:rPr>
        <w:t>.</w:t>
      </w:r>
    </w:p>
    <w:p>
      <w:pPr>
        <w:keepNext/>
        <w:keepLines/>
        <w:widowControl/>
        <w:numPr>
          <w:ilvl w:val="0"/>
          <w:numId w:val="3"/>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widowControl/>
        <w:spacing w:before="240" w:after="180"/>
        <w:outlineLvl w:val="1"/>
        <w:rPr>
          <w:rFonts w:hint="default" w:ascii="Arial" w:hAnsi="Arial" w:eastAsia="宋体" w:cs="Arial"/>
          <w:kern w:val="0"/>
          <w:sz w:val="32"/>
          <w:szCs w:val="32"/>
          <w:lang w:val="en-US" w:eastAsia="zh-CN"/>
        </w:rPr>
      </w:pPr>
      <w:r>
        <w:rPr>
          <w:rFonts w:ascii="Arial" w:hAnsi="Arial" w:eastAsia="宋体" w:cs="Arial"/>
          <w:kern w:val="0"/>
          <w:sz w:val="32"/>
          <w:szCs w:val="32"/>
        </w:rPr>
        <w:t>2.</w:t>
      </w:r>
      <w:r>
        <w:rPr>
          <w:rFonts w:hint="eastAsia" w:ascii="Arial" w:hAnsi="Arial" w:eastAsia="宋体" w:cs="Arial"/>
          <w:kern w:val="0"/>
          <w:sz w:val="32"/>
          <w:szCs w:val="32"/>
          <w:lang w:val="en-US" w:eastAsia="zh-CN"/>
        </w:rPr>
        <w:t>1</w:t>
      </w:r>
      <w:r>
        <w:rPr>
          <w:rFonts w:ascii="Arial" w:hAnsi="Arial" w:eastAsia="宋体" w:cs="Arial"/>
          <w:kern w:val="0"/>
          <w:sz w:val="32"/>
          <w:szCs w:val="32"/>
        </w:rPr>
        <w:t xml:space="preserve"> </w:t>
      </w:r>
      <w:r>
        <w:rPr>
          <w:rFonts w:hint="eastAsia" w:ascii="Arial" w:hAnsi="Arial" w:eastAsia="宋体" w:cs="Arial"/>
          <w:kern w:val="0"/>
          <w:sz w:val="32"/>
          <w:szCs w:val="32"/>
          <w:lang w:val="en-US" w:eastAsia="zh-CN"/>
        </w:rPr>
        <w:t>HARQ operation</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 RAN1 has made the following agreement regarding HARQ feedback for eMTC:</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Times New Roman" w:hAnsi="Times New Roman" w:eastAsia="Malgun Gothic" w:cs="Times New Roman"/>
                <w:b/>
                <w:iCs/>
                <w:sz w:val="20"/>
                <w:szCs w:val="20"/>
              </w:rPr>
            </w:pPr>
            <w:r>
              <w:rPr>
                <w:rFonts w:hint="default" w:ascii="Times New Roman" w:hAnsi="Times New Roman" w:eastAsia="宋体" w:cs="Times New Roman"/>
                <w:b/>
                <w:iCs/>
                <w:sz w:val="20"/>
                <w:szCs w:val="20"/>
                <w:highlight w:val="green"/>
                <w:lang w:val="en-US" w:eastAsia="zh-CN"/>
              </w:rPr>
              <w:t xml:space="preserve">RAN1 </w:t>
            </w:r>
            <w:r>
              <w:rPr>
                <w:rFonts w:hint="default" w:ascii="Times New Roman" w:hAnsi="Times New Roman" w:eastAsia="Malgun Gothic" w:cs="Times New Roman"/>
                <w:b/>
                <w:iCs/>
                <w:sz w:val="20"/>
                <w:szCs w:val="20"/>
                <w:highlight w:val="green"/>
              </w:rPr>
              <w:t>Agreement</w:t>
            </w:r>
          </w:p>
          <w:p>
            <w:pPr>
              <w:widowControl/>
              <w:spacing w:after="180"/>
              <w:rPr>
                <w:rFonts w:hint="default" w:ascii="Arial" w:hAnsi="Arial" w:eastAsia="宋体" w:cs="Arial"/>
                <w:kern w:val="0"/>
                <w:sz w:val="20"/>
                <w:szCs w:val="20"/>
                <w:vertAlign w:val="baseline"/>
                <w:lang w:val="en-US" w:eastAsia="zh-CN"/>
              </w:rPr>
            </w:pPr>
            <w:r>
              <w:rPr>
                <w:rFonts w:hint="default" w:ascii="Times New Roman" w:hAnsi="Times New Roman" w:cs="Times New Roman"/>
                <w:sz w:val="20"/>
                <w:szCs w:val="20"/>
                <w:lang w:eastAsia="zh-CN"/>
              </w:rPr>
              <w:t xml:space="preserve">For a DL HARQ process with disabled HARQ feedback in eMTC, UE is not expected to receive another MPDCCH carrying a DCI scheduling a PDSCH </w:t>
            </w:r>
            <w:r>
              <w:rPr>
                <w:rFonts w:hint="default" w:ascii="Times New Roman" w:hAnsi="Times New Roman" w:cs="Times New Roman"/>
                <w:color w:val="C00000"/>
                <w:sz w:val="20"/>
                <w:szCs w:val="20"/>
                <w:lang w:eastAsia="zh-CN"/>
              </w:rPr>
              <w:t>for a given HARQ process</w:t>
            </w:r>
            <w:r>
              <w:rPr>
                <w:rFonts w:hint="default" w:ascii="Times New Roman" w:hAnsi="Times New Roman" w:cs="Times New Roman"/>
                <w:sz w:val="20"/>
                <w:szCs w:val="20"/>
                <w:lang w:eastAsia="zh-CN"/>
              </w:rPr>
              <w:t xml:space="preserve"> or to receive another PDSCH without corresponding MPDCCH </w:t>
            </w:r>
            <w:r>
              <w:rPr>
                <w:rFonts w:hint="default" w:ascii="Times New Roman" w:hAnsi="Times New Roman" w:cs="Times New Roman"/>
                <w:color w:val="C00000"/>
                <w:sz w:val="20"/>
                <w:szCs w:val="20"/>
                <w:lang w:eastAsia="zh-CN"/>
              </w:rPr>
              <w:t>for the given HARQ process</w:t>
            </w:r>
            <w:r>
              <w:rPr>
                <w:rFonts w:hint="default" w:ascii="Times New Roman" w:hAnsi="Times New Roman" w:cs="Times New Roman"/>
                <w:sz w:val="20"/>
                <w:szCs w:val="20"/>
                <w:lang w:eastAsia="zh-CN"/>
              </w:rPr>
              <w:t xml:space="preserve"> that starts at a BL/CE DL subframe until X=3 (ms) have passed after the end of the reception of the last PDSCH </w:t>
            </w:r>
            <w:r>
              <w:rPr>
                <w:rFonts w:hint="default" w:ascii="Times New Roman" w:hAnsi="Times New Roman" w:cs="Times New Roman"/>
                <w:color w:val="C00000"/>
                <w:sz w:val="20"/>
                <w:szCs w:val="20"/>
                <w:lang w:eastAsia="zh-CN"/>
              </w:rPr>
              <w:t>for that HARQ process</w:t>
            </w:r>
            <w:r>
              <w:rPr>
                <w:rFonts w:hint="default" w:ascii="Times New Roman" w:hAnsi="Times New Roman" w:cs="Times New Roman"/>
                <w:sz w:val="20"/>
                <w:szCs w:val="20"/>
                <w:lang w:eastAsia="zh-CN"/>
              </w:rPr>
              <w:t>.</w:t>
            </w:r>
          </w:p>
        </w:tc>
      </w:tr>
    </w:tbl>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NB-IoT, the similar agreement has been achieved in RAN1#110bis and then RAN2 revised the agreements on starting/restarting drx-inactivity timer plus 12 subframes as follows: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noWrap w:val="0"/>
            <w:vAlign w:val="top"/>
          </w:tcPr>
          <w:p>
            <w:pPr>
              <w:rPr>
                <w:rFonts w:ascii="Times New Roman" w:hAnsi="Times New Roman" w:eastAsia="宋体"/>
                <w:b/>
                <w:bCs/>
                <w:sz w:val="20"/>
                <w:szCs w:val="20"/>
                <w:lang w:val="en-US"/>
              </w:rPr>
            </w:pPr>
            <w:r>
              <w:rPr>
                <w:rFonts w:hint="eastAsia" w:ascii="Times New Roman" w:hAnsi="Times New Roman"/>
                <w:b/>
                <w:bCs/>
                <w:sz w:val="20"/>
                <w:szCs w:val="20"/>
                <w:highlight w:val="green"/>
                <w:lang w:val="en-US" w:eastAsia="zh-CN"/>
              </w:rPr>
              <w:t xml:space="preserve">RAN1 </w:t>
            </w:r>
            <w:r>
              <w:rPr>
                <w:rFonts w:ascii="Times New Roman" w:hAnsi="Times New Roman"/>
                <w:b/>
                <w:bCs/>
                <w:sz w:val="20"/>
                <w:szCs w:val="20"/>
                <w:highlight w:val="green"/>
              </w:rPr>
              <w:t>Agreement</w:t>
            </w:r>
          </w:p>
          <w:p>
            <w:pPr>
              <w:rPr>
                <w:rFonts w:ascii="Times New Roman" w:hAnsi="Times New Roman"/>
                <w:sz w:val="20"/>
                <w:szCs w:val="20"/>
              </w:rPr>
            </w:pPr>
            <w:r>
              <w:rPr>
                <w:rFonts w:ascii="Times New Roman" w:hAnsi="Times New Roman"/>
                <w:sz w:val="20"/>
                <w:szCs w:val="20"/>
              </w:rPr>
              <w:t>For a DL HARQ process with disabled HARQ feedback in NB-IoT, UE is not required to monitor NPDCCH in a period of Y=12(ms) from the end of reception of the NPDSCH.</w:t>
            </w:r>
          </w:p>
          <w:p>
            <w:pPr>
              <w:rPr>
                <w:rFonts w:hint="eastAsia" w:ascii="Times New Roman" w:hAnsi="Times New Roman" w:eastAsia="宋体" w:cs="Times New Roman"/>
                <w:b/>
                <w:bCs/>
                <w:sz w:val="20"/>
                <w:szCs w:val="20"/>
                <w:u w:val="single"/>
                <w:lang w:val="en-US" w:eastAsia="zh-CN"/>
              </w:rPr>
            </w:pPr>
            <w:r>
              <w:rPr>
                <w:rFonts w:hint="eastAsia" w:ascii="Times New Roman" w:hAnsi="Times New Roman" w:eastAsia="宋体" w:cs="Times New Roman"/>
                <w:b/>
                <w:bCs/>
                <w:sz w:val="20"/>
                <w:szCs w:val="20"/>
                <w:u w:val="single"/>
                <w:lang w:val="en-US" w:eastAsia="zh-CN"/>
              </w:rPr>
              <w:t>RAN2 Agreement</w:t>
            </w:r>
          </w:p>
          <w:p>
            <w:pPr>
              <w:rPr>
                <w:rFonts w:hint="eastAsia" w:ascii="Times New Roman" w:hAnsi="Times New Roman"/>
                <w:szCs w:val="20"/>
                <w:lang w:val="en-US" w:eastAsia="zh-CN"/>
              </w:rPr>
            </w:pPr>
            <w:r>
              <w:rPr>
                <w:rFonts w:hint="default" w:ascii="Times New Roman" w:hAnsi="Times New Roman" w:eastAsia="宋体" w:cs="Times New Roman"/>
                <w:sz w:val="20"/>
                <w:szCs w:val="20"/>
                <w:lang w:val="en-US" w:eastAsia="zh-CN"/>
              </w:rPr>
              <w:t>For NB-IoT NTN with single HARQ process when the HARQ feedback is disabled, the UE will start/restart drx-inactivity timer in the subframe containing the last repetition of the corresponding PDSCH reception plus 12 subframes.</w:t>
            </w:r>
          </w:p>
        </w:tc>
      </w:tr>
    </w:tbl>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According to current spec, drx-inactivity timer is specific for MAC entity. For eMTC, the additional 3ms not monitoring PDCCH is for the given HARQ process with disabled HARQ feedback. If there are multiple HARQ processes including HARQ process with disabled HARQ feedback and HARQ process with enabled HARQ feedback in the same MAC entity, the legacy behaviour should be followed. However, if there is only one HARQ process with disabled HARQ feedback for a MAC entity, the UE should start/restart drx-inactivity timer in the subframe containing the end of reception of the last PDSCH plus 3 subframes. </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For the case where only one DL HARQ process with disabled HARQ feedback in a MAC entity of an eMTC UE, the UE will start/restart drx-inactivity timer in the subframe containing end of reception of the last PDSCH</w:t>
      </w:r>
      <w:r>
        <w:rPr>
          <w:rFonts w:hint="eastAsia" w:ascii="Arial" w:hAnsi="Arial" w:eastAsia="宋体" w:cs="Arial"/>
          <w:b/>
          <w:bCs/>
          <w:kern w:val="0"/>
          <w:sz w:val="20"/>
          <w:szCs w:val="20"/>
          <w:highlight w:val="none"/>
          <w:lang w:val="en-US" w:eastAsia="zh-CN"/>
        </w:rPr>
        <w:t xml:space="preserve"> plus 3 subframes</w:t>
      </w:r>
      <w:r>
        <w:rPr>
          <w:rFonts w:hint="eastAsia" w:ascii="Arial" w:hAnsi="Arial" w:eastAsia="宋体" w:cs="Arial"/>
          <w:b/>
          <w:bCs/>
          <w:kern w:val="0"/>
          <w:sz w:val="20"/>
          <w:szCs w:val="20"/>
          <w:lang w:val="en-US" w:eastAsia="zh-CN"/>
        </w:rPr>
        <w:t>.</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In RAN2#120 meeting, RAN2 discussed </w:t>
      </w:r>
      <w:r>
        <w:rPr>
          <w:rFonts w:hint="default" w:ascii="Arial" w:hAnsi="Arial" w:eastAsia="宋体" w:cs="Arial"/>
          <w:kern w:val="0"/>
          <w:sz w:val="20"/>
          <w:szCs w:val="20"/>
        </w:rPr>
        <w:t>drx-inactivity timer</w:t>
      </w:r>
      <w:r>
        <w:rPr>
          <w:rFonts w:hint="eastAsia" w:ascii="Arial" w:hAnsi="Arial" w:eastAsia="宋体" w:cs="Arial"/>
          <w:kern w:val="0"/>
          <w:sz w:val="20"/>
          <w:szCs w:val="20"/>
          <w:lang w:val="en-US" w:eastAsia="zh-CN"/>
        </w:rPr>
        <w:t xml:space="preserve"> for HARQ mode B and some companies proposed to add </w:t>
      </w:r>
      <w:r>
        <w:rPr>
          <w:rFonts w:hint="default" w:ascii="Arial" w:hAnsi="Arial" w:eastAsia="宋体" w:cs="Arial"/>
          <w:kern w:val="0"/>
          <w:sz w:val="20"/>
          <w:szCs w:val="20"/>
        </w:rPr>
        <w:t xml:space="preserve">the processing time </w:t>
      </w:r>
      <w:r>
        <w:rPr>
          <w:rFonts w:hint="eastAsia" w:ascii="Arial" w:hAnsi="Arial" w:eastAsia="宋体" w:cs="Arial"/>
          <w:kern w:val="0"/>
          <w:sz w:val="20"/>
          <w:szCs w:val="20"/>
          <w:lang w:val="en-US" w:eastAsia="zh-CN"/>
        </w:rPr>
        <w:t>of</w:t>
      </w:r>
      <w:r>
        <w:rPr>
          <w:rFonts w:hint="default" w:ascii="Arial" w:hAnsi="Arial" w:eastAsia="宋体" w:cs="Arial"/>
          <w:kern w:val="0"/>
          <w:sz w:val="20"/>
          <w:szCs w:val="20"/>
        </w:rPr>
        <w:t xml:space="preserve"> drx-inactivity timer</w:t>
      </w:r>
      <w:r>
        <w:rPr>
          <w:rFonts w:hint="eastAsia" w:ascii="Arial" w:hAnsi="Arial" w:eastAsia="宋体" w:cs="Arial"/>
          <w:kern w:val="0"/>
          <w:sz w:val="20"/>
          <w:szCs w:val="20"/>
          <w:lang w:val="en-US" w:eastAsia="zh-CN"/>
        </w:rPr>
        <w:t>, such as plus UE-eNB RTT time or plus 3ms which is the gap between the NPUSCH transmission and NPDCCH monitoring as specified in TS 36.213 [2].</w:t>
      </w:r>
    </w:p>
    <w:p>
      <w:pPr>
        <w:widowControl/>
        <w:spacing w:after="180"/>
        <w:jc w:val="both"/>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However, we understand that the additional processing time should be up to RAN1 decision, similarly to DL discussion. </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2: The decision on the additional processing time for </w:t>
      </w:r>
      <w:r>
        <w:rPr>
          <w:rFonts w:hint="default" w:ascii="Arial" w:hAnsi="Arial" w:eastAsia="宋体" w:cs="Arial"/>
          <w:b/>
          <w:bCs/>
          <w:kern w:val="0"/>
          <w:sz w:val="20"/>
          <w:szCs w:val="20"/>
        </w:rPr>
        <w:t>drx-inactivity timer</w:t>
      </w:r>
      <w:r>
        <w:rPr>
          <w:rFonts w:hint="eastAsia" w:ascii="Arial" w:hAnsi="Arial" w:eastAsia="宋体" w:cs="Arial"/>
          <w:b/>
          <w:bCs/>
          <w:kern w:val="0"/>
          <w:sz w:val="20"/>
          <w:szCs w:val="20"/>
          <w:lang w:val="en-US" w:eastAsia="zh-CN"/>
        </w:rPr>
        <w:t xml:space="preserve"> for HARQ mode B can be left</w:t>
      </w:r>
      <w:r>
        <w:rPr>
          <w:rFonts w:hint="eastAsia" w:ascii="Arial" w:hAnsi="Arial" w:eastAsia="宋体" w:cs="Arial"/>
          <w:b/>
          <w:bCs/>
          <w:kern w:val="0"/>
          <w:sz w:val="20"/>
          <w:szCs w:val="20"/>
          <w:highlight w:val="none"/>
          <w:lang w:val="en-US" w:eastAsia="zh-CN"/>
        </w:rPr>
        <w:t xml:space="preserve"> to RAN1, </w:t>
      </w:r>
      <w:r>
        <w:rPr>
          <w:rFonts w:hint="eastAsia" w:ascii="Arial" w:hAnsi="Arial" w:eastAsia="宋体" w:cs="Arial"/>
          <w:b/>
          <w:bCs/>
          <w:kern w:val="0"/>
          <w:sz w:val="20"/>
          <w:szCs w:val="20"/>
          <w:lang w:val="en-US" w:eastAsia="zh-CN"/>
        </w:rPr>
        <w:t>similarly to DL discussion</w:t>
      </w:r>
      <w:r>
        <w:rPr>
          <w:rFonts w:hint="eastAsia" w:ascii="Arial" w:hAnsi="Arial" w:eastAsia="宋体" w:cs="Arial"/>
          <w:b/>
          <w:bCs/>
          <w:kern w:val="0"/>
          <w:sz w:val="20"/>
          <w:szCs w:val="20"/>
          <w:highlight w:val="none"/>
          <w:lang w:val="en-US" w:eastAsia="zh-CN"/>
        </w:rPr>
        <w:t>.</w:t>
      </w:r>
    </w:p>
    <w:p>
      <w:pPr>
        <w:widowControl/>
        <w:spacing w:before="240" w:after="180"/>
        <w:outlineLvl w:val="1"/>
        <w:rPr>
          <w:rFonts w:hint="default" w:ascii="Arial" w:hAnsi="Arial" w:eastAsia="宋体" w:cs="Arial"/>
          <w:kern w:val="0"/>
          <w:sz w:val="32"/>
          <w:szCs w:val="32"/>
          <w:lang w:val="en-US" w:eastAsia="zh-CN"/>
        </w:rPr>
      </w:pPr>
      <w:r>
        <w:rPr>
          <w:rFonts w:ascii="Arial" w:hAnsi="Arial" w:eastAsia="宋体" w:cs="Arial"/>
          <w:kern w:val="0"/>
          <w:sz w:val="32"/>
          <w:szCs w:val="32"/>
        </w:rPr>
        <w:t>2.</w:t>
      </w:r>
      <w:r>
        <w:rPr>
          <w:rFonts w:hint="eastAsia" w:ascii="Arial" w:hAnsi="Arial" w:eastAsia="宋体" w:cs="Arial"/>
          <w:kern w:val="0"/>
          <w:sz w:val="32"/>
          <w:szCs w:val="32"/>
          <w:lang w:val="en-US" w:eastAsia="zh-CN"/>
        </w:rPr>
        <w:t>2</w:t>
      </w:r>
      <w:r>
        <w:rPr>
          <w:rFonts w:ascii="Arial" w:hAnsi="Arial" w:eastAsia="宋体" w:cs="Arial"/>
          <w:kern w:val="0"/>
          <w:sz w:val="32"/>
          <w:szCs w:val="32"/>
        </w:rPr>
        <w:t xml:space="preserve"> </w:t>
      </w:r>
      <w:r>
        <w:rPr>
          <w:rFonts w:hint="eastAsia" w:ascii="Arial" w:hAnsi="Arial" w:eastAsia="宋体" w:cs="Arial"/>
          <w:kern w:val="0"/>
          <w:sz w:val="32"/>
          <w:szCs w:val="32"/>
          <w:lang w:val="en-US" w:eastAsia="zh-CN"/>
        </w:rPr>
        <w:t xml:space="preserve">Configuration of enabling/disabling HARQ feedback </w:t>
      </w:r>
    </w:p>
    <w:p>
      <w:pPr>
        <w:widowControl/>
        <w:spacing w:after="180"/>
        <w:rPr>
          <w:rFonts w:hint="eastAsia" w:ascii="Arial" w:hAnsi="Arial" w:eastAsia="宋体" w:cs="Arial"/>
          <w:kern w:val="0"/>
          <w:sz w:val="20"/>
          <w:szCs w:val="20"/>
        </w:rPr>
      </w:pPr>
      <w:r>
        <w:rPr>
          <w:rFonts w:hint="eastAsia" w:ascii="Arial" w:hAnsi="Arial" w:eastAsia="宋体" w:cs="Arial"/>
          <w:kern w:val="0"/>
          <w:sz w:val="20"/>
          <w:szCs w:val="20"/>
        </w:rPr>
        <w:t xml:space="preserve">The signaling options for </w:t>
      </w:r>
      <w:r>
        <w:rPr>
          <w:rFonts w:hint="eastAsia" w:ascii="Arial" w:hAnsi="Arial" w:eastAsia="宋体" w:cs="Arial"/>
          <w:kern w:val="0"/>
          <w:sz w:val="20"/>
          <w:szCs w:val="20"/>
          <w:lang w:val="en-US" w:eastAsia="zh-CN"/>
        </w:rPr>
        <w:t>enabling/</w:t>
      </w:r>
      <w:r>
        <w:rPr>
          <w:rFonts w:hint="eastAsia" w:ascii="Arial" w:hAnsi="Arial" w:eastAsia="宋体" w:cs="Arial"/>
          <w:kern w:val="0"/>
          <w:sz w:val="20"/>
          <w:szCs w:val="20"/>
        </w:rPr>
        <w:t>disabling HARQ feedback were discussed in RAN1, and RAN1 has made the following agreements</w:t>
      </w:r>
      <w:r>
        <w:rPr>
          <w:rFonts w:hint="eastAsia" w:ascii="Arial" w:hAnsi="Arial" w:eastAsia="宋体" w:cs="Arial"/>
          <w:kern w:val="0"/>
          <w:sz w:val="20"/>
          <w:szCs w:val="20"/>
          <w:lang w:val="en-US" w:eastAsia="zh-CN"/>
        </w:rPr>
        <w:t>/working assumption</w:t>
      </w:r>
      <w:r>
        <w:rPr>
          <w:rFonts w:hint="eastAsia" w:ascii="Arial" w:hAnsi="Arial" w:eastAsia="宋体" w:cs="Arial"/>
          <w:kern w:val="0"/>
          <w:sz w:val="20"/>
          <w:szCs w:val="20"/>
        </w:rPr>
        <w:t xml:space="preserve"> on this</w:t>
      </w:r>
      <w:r>
        <w:rPr>
          <w:rFonts w:hint="eastAsia" w:ascii="Arial" w:hAnsi="Arial" w:eastAsia="宋体" w:cs="Arial"/>
          <w:kern w:val="0"/>
          <w:sz w:val="20"/>
          <w:szCs w:val="20"/>
          <w:lang w:val="en-US" w:eastAsia="zh-CN"/>
        </w:rPr>
        <w:t xml:space="preserve"> issue</w:t>
      </w:r>
      <w:r>
        <w:rPr>
          <w:rFonts w:hint="eastAsia" w:ascii="Arial" w:hAnsi="Arial" w:eastAsia="宋体" w:cs="Arial"/>
          <w:kern w:val="0"/>
          <w:sz w:val="20"/>
          <w:szCs w:val="20"/>
        </w:rPr>
        <w:t>.</w:t>
      </w:r>
    </w:p>
    <w:p>
      <w:pPr>
        <w:pStyle w:val="3"/>
        <w:rPr>
          <w:rFonts w:hint="eastAsia" w:eastAsia="等线"/>
        </w:rPr>
      </w:pPr>
      <w:r>
        <w:rPr>
          <w:rFonts w:hint="eastAsia" w:ascii="Times New Roman" w:hAnsi="Times New Roman"/>
          <w:b/>
          <w:bCs/>
          <w:lang w:val="en-US" w:eastAsia="zh-CN"/>
        </w:rPr>
        <w:t>Working assumption</w:t>
      </w:r>
      <w:r>
        <w:rPr>
          <w:rFonts w:ascii="Times New Roman" w:hAnsi="Times New Roman"/>
          <w:b/>
          <w:bCs/>
        </w:rPr>
        <w:t xml:space="preserve"> in RAN1#11</w:t>
      </w:r>
      <w:r>
        <w:rPr>
          <w:rFonts w:hint="eastAsia" w:ascii="Times New Roman" w:hAnsi="Times New Roman"/>
          <w:b/>
          <w:bCs/>
          <w:lang w:val="en-US" w:eastAsia="zh-CN"/>
        </w:rPr>
        <w:t>2</w:t>
      </w:r>
      <w:r>
        <w:rPr>
          <w:rFonts w:ascii="Times New Roman" w:hAnsi="Times New Roman"/>
          <w:b/>
          <w:bCs/>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noWrap w:val="0"/>
            <w:vAlign w:val="top"/>
          </w:tcPr>
          <w:p>
            <w:pPr>
              <w:spacing w:before="120" w:beforeLines="50" w:after="120" w:afterLines="50"/>
              <w:rPr>
                <w:rFonts w:ascii="Times New Roman" w:hAnsi="Times New Roman"/>
                <w:b/>
                <w:bCs/>
                <w:iCs/>
                <w:sz w:val="20"/>
                <w:szCs w:val="20"/>
                <w:lang w:eastAsia="zh-CN"/>
              </w:rPr>
            </w:pPr>
            <w:r>
              <w:rPr>
                <w:rFonts w:ascii="Times New Roman" w:hAnsi="Times New Roman"/>
                <w:b/>
                <w:bCs/>
                <w:iCs/>
                <w:sz w:val="20"/>
                <w:szCs w:val="20"/>
                <w:highlight w:val="darkYellow"/>
                <w:lang w:eastAsia="zh-CN"/>
              </w:rPr>
              <w:t>Working assumption</w:t>
            </w:r>
          </w:p>
          <w:p>
            <w:pPr>
              <w:pStyle w:val="23"/>
              <w:keepNext w:val="0"/>
              <w:keepLines w:val="0"/>
              <w:pageBreakBefore w:val="0"/>
              <w:widowControl/>
              <w:kinsoku/>
              <w:wordWrap/>
              <w:overflowPunct w:val="0"/>
              <w:topLinePunct w:val="0"/>
              <w:autoSpaceDE w:val="0"/>
              <w:autoSpaceDN w:val="0"/>
              <w:bidi w:val="0"/>
              <w:adjustRightInd w:val="0"/>
              <w:spacing w:before="0" w:beforeAutospacing="0" w:after="0"/>
              <w:ind w:left="210" w:leftChars="100"/>
              <w:textAlignment w:val="baseline"/>
              <w:rPr>
                <w:rFonts w:ascii="Times New Roman" w:hAnsi="Times New Roman" w:cs="Times New Roman"/>
                <w:iCs/>
                <w:sz w:val="20"/>
                <w:szCs w:val="20"/>
              </w:rPr>
            </w:pPr>
            <w:r>
              <w:rPr>
                <w:rFonts w:ascii="Times New Roman" w:hAnsi="Times New Roman" w:cs="Times New Roman"/>
                <w:iCs/>
                <w:sz w:val="20"/>
                <w:szCs w:val="20"/>
              </w:rPr>
              <w:t>For NB-IoT NTN and eMTC NTN for CE Mode B, to configure/indicate enabling/disabling of HARQ feedback for downlink transmission:</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before="0" w:beforeAutospacing="0" w:after="0"/>
              <w:ind w:left="839" w:hanging="420"/>
              <w:textAlignment w:val="baseline"/>
              <w:rPr>
                <w:rFonts w:ascii="Times New Roman" w:hAnsi="Times New Roman"/>
                <w:sz w:val="20"/>
                <w:szCs w:val="20"/>
              </w:rPr>
            </w:pPr>
            <w:r>
              <w:rPr>
                <w:rFonts w:ascii="Times New Roman" w:hAnsi="Times New Roman"/>
                <w:sz w:val="20"/>
                <w:szCs w:val="20"/>
              </w:rPr>
              <w:t xml:space="preserve">Support Option 1 in case only per-HARQ process bitmap signaling is configured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before="0" w:beforeAutospacing="0" w:after="0"/>
              <w:ind w:left="839" w:hanging="420"/>
              <w:textAlignment w:val="baseline"/>
              <w:rPr>
                <w:rFonts w:ascii="Times New Roman" w:hAnsi="Times New Roman"/>
                <w:sz w:val="20"/>
                <w:szCs w:val="20"/>
              </w:rPr>
            </w:pPr>
            <w:r>
              <w:rPr>
                <w:rFonts w:ascii="Times New Roman" w:hAnsi="Times New Roman"/>
                <w:sz w:val="20"/>
                <w:szCs w:val="20"/>
              </w:rPr>
              <w:t>Support Option 3 DCI direct indication of HARQ feedback enable/disable in case only DCI solution enabling/disabling signaling is configured</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before="0" w:beforeAutospacing="0" w:after="0"/>
              <w:ind w:left="839" w:hanging="420"/>
              <w:textAlignment w:val="baseline"/>
              <w:rPr>
                <w:rFonts w:ascii="Times New Roman" w:hAnsi="Times New Roman"/>
                <w:iCs/>
                <w:sz w:val="20"/>
                <w:szCs w:val="20"/>
              </w:rPr>
            </w:pPr>
            <w:r>
              <w:rPr>
                <w:rFonts w:ascii="Times New Roman" w:hAnsi="Times New Roman"/>
                <w:sz w:val="20"/>
                <w:szCs w:val="20"/>
              </w:rPr>
              <w:t>Supp</w:t>
            </w:r>
            <w:r>
              <w:rPr>
                <w:rFonts w:ascii="Times New Roman" w:hAnsi="Times New Roman"/>
                <w:iCs/>
                <w:sz w:val="20"/>
                <w:szCs w:val="20"/>
              </w:rPr>
              <w:t>ort Option 3 DCI indication to override Option 1 configuration for corresponding transmission in case both per-HARQ process bitmap and DCI solution enabling/disabling signaling are configured</w:t>
            </w:r>
          </w:p>
          <w:p>
            <w:pPr>
              <w:keepNext w:val="0"/>
              <w:keepLines w:val="0"/>
              <w:pageBreakBefore w:val="0"/>
              <w:widowControl/>
              <w:numPr>
                <w:ilvl w:val="1"/>
                <w:numId w:val="4"/>
              </w:numPr>
              <w:kinsoku/>
              <w:wordWrap/>
              <w:overflowPunct w:val="0"/>
              <w:topLinePunct w:val="0"/>
              <w:autoSpaceDE w:val="0"/>
              <w:autoSpaceDN w:val="0"/>
              <w:bidi w:val="0"/>
              <w:adjustRightInd w:val="0"/>
              <w:snapToGrid w:val="0"/>
              <w:spacing w:before="0" w:beforeAutospacing="0" w:after="0"/>
              <w:ind w:left="1259" w:hanging="420"/>
              <w:textAlignment w:val="baseline"/>
              <w:rPr>
                <w:rFonts w:ascii="Times New Roman" w:hAnsi="Times New Roman"/>
                <w:sz w:val="20"/>
                <w:szCs w:val="20"/>
                <w:lang w:eastAsia="zh-CN"/>
              </w:rPr>
            </w:pPr>
            <w:r>
              <w:rPr>
                <w:rFonts w:ascii="Times New Roman" w:hAnsi="Times New Roman"/>
                <w:iCs/>
                <w:sz w:val="20"/>
                <w:szCs w:val="20"/>
                <w:lang w:eastAsia="zh-CN"/>
              </w:rPr>
              <w:t>FF</w:t>
            </w:r>
            <w:r>
              <w:rPr>
                <w:rFonts w:ascii="Times New Roman" w:hAnsi="Times New Roman"/>
                <w:sz w:val="20"/>
                <w:szCs w:val="20"/>
                <w:lang w:eastAsia="zh-CN"/>
              </w:rPr>
              <w:t>S#1: Option 3 DCI-based overridden mechanism is applied to both semi-statically HARQ feedback enabled and disabled processes or only applied to semi-statically HARQ feedback disabled processes or only applied to semi-statically HARQ feedback enabled processes.</w:t>
            </w:r>
          </w:p>
          <w:p>
            <w:pPr>
              <w:keepNext w:val="0"/>
              <w:keepLines w:val="0"/>
              <w:pageBreakBefore w:val="0"/>
              <w:widowControl/>
              <w:numPr>
                <w:ilvl w:val="1"/>
                <w:numId w:val="4"/>
              </w:numPr>
              <w:kinsoku/>
              <w:wordWrap/>
              <w:overflowPunct w:val="0"/>
              <w:topLinePunct w:val="0"/>
              <w:autoSpaceDE w:val="0"/>
              <w:autoSpaceDN w:val="0"/>
              <w:bidi w:val="0"/>
              <w:adjustRightInd w:val="0"/>
              <w:snapToGrid w:val="0"/>
              <w:spacing w:before="0" w:beforeAutospacing="0" w:after="0"/>
              <w:ind w:left="1259" w:hanging="420"/>
              <w:textAlignment w:val="baseline"/>
              <w:rPr>
                <w:rFonts w:ascii="Times New Roman" w:hAnsi="Times New Roman"/>
                <w:sz w:val="20"/>
                <w:szCs w:val="20"/>
                <w:lang w:eastAsia="zh-CN"/>
              </w:rPr>
            </w:pPr>
            <w:r>
              <w:rPr>
                <w:rFonts w:ascii="Times New Roman" w:hAnsi="Times New Roman"/>
                <w:sz w:val="20"/>
                <w:szCs w:val="20"/>
                <w:lang w:eastAsia="zh-CN"/>
              </w:rPr>
              <w:t>FFS#2: whether/how to support Option 3 overriding Option 1 configuration for corresponding transmission for multiple TBs scheduled by single DCI</w:t>
            </w:r>
          </w:p>
          <w:p>
            <w:pPr>
              <w:keepNext w:val="0"/>
              <w:keepLines w:val="0"/>
              <w:pageBreakBefore w:val="0"/>
              <w:widowControl/>
              <w:numPr>
                <w:ilvl w:val="1"/>
                <w:numId w:val="4"/>
              </w:numPr>
              <w:kinsoku/>
              <w:wordWrap/>
              <w:overflowPunct w:val="0"/>
              <w:topLinePunct w:val="0"/>
              <w:autoSpaceDE w:val="0"/>
              <w:autoSpaceDN w:val="0"/>
              <w:bidi w:val="0"/>
              <w:adjustRightInd w:val="0"/>
              <w:snapToGrid w:val="0"/>
              <w:spacing w:before="0" w:beforeAutospacing="0" w:after="0"/>
              <w:ind w:left="1259" w:hanging="420"/>
              <w:textAlignment w:val="baseline"/>
              <w:rPr>
                <w:rFonts w:ascii="Times New Roman" w:hAnsi="Times New Roman"/>
                <w:iCs/>
                <w:sz w:val="20"/>
                <w:szCs w:val="20"/>
              </w:rPr>
            </w:pPr>
            <w:r>
              <w:rPr>
                <w:rFonts w:ascii="Times New Roman" w:hAnsi="Times New Roman"/>
                <w:sz w:val="20"/>
                <w:szCs w:val="20"/>
                <w:lang w:eastAsia="zh-CN"/>
              </w:rPr>
              <w:t>FFS#3：Option 3 DCI-based overridden mechanism is DCI signaling to reverse the HAR</w:t>
            </w:r>
            <w:r>
              <w:rPr>
                <w:rFonts w:ascii="Times New Roman" w:hAnsi="Times New Roman"/>
                <w:sz w:val="20"/>
                <w:szCs w:val="20"/>
              </w:rPr>
              <w:t>Q feedback enable/disable for the corresponding transmission from per-HARQ process RRC configuration or DCI signaling to directly indicate the HARQ feedback enable/disable for the corresponding transmission regardless of per-HARQ process RRC configuration.</w:t>
            </w:r>
          </w:p>
          <w:p>
            <w:pPr>
              <w:keepNext w:val="0"/>
              <w:keepLines w:val="0"/>
              <w:pageBreakBefore w:val="0"/>
              <w:widowControl/>
              <w:kinsoku/>
              <w:wordWrap/>
              <w:overflowPunct w:val="0"/>
              <w:topLinePunct w:val="0"/>
              <w:autoSpaceDE w:val="0"/>
              <w:autoSpaceDN w:val="0"/>
              <w:bidi w:val="0"/>
              <w:adjustRightInd w:val="0"/>
              <w:spacing w:before="0" w:beforeAutospacing="0" w:after="0"/>
              <w:ind w:left="210" w:leftChars="100"/>
              <w:textAlignment w:val="baseline"/>
              <w:rPr>
                <w:rFonts w:ascii="Times New Roman" w:hAnsi="Times New Roman"/>
                <w:sz w:val="20"/>
                <w:szCs w:val="20"/>
              </w:rPr>
            </w:pPr>
            <w:r>
              <w:rPr>
                <w:rFonts w:ascii="Times New Roman" w:hAnsi="Times New Roman"/>
                <w:sz w:val="20"/>
                <w:szCs w:val="20"/>
              </w:rPr>
              <w:t>RAN1 strives to have a common design (in terms of DCI design, PDCCH monitoring, etc.) for “Option 3” and “Option 3 + Option 1”.</w:t>
            </w:r>
          </w:p>
          <w:p>
            <w:pPr>
              <w:keepNext w:val="0"/>
              <w:keepLines w:val="0"/>
              <w:pageBreakBefore w:val="0"/>
              <w:widowControl/>
              <w:kinsoku/>
              <w:wordWrap/>
              <w:overflowPunct w:val="0"/>
              <w:topLinePunct w:val="0"/>
              <w:autoSpaceDE w:val="0"/>
              <w:autoSpaceDN w:val="0"/>
              <w:bidi w:val="0"/>
              <w:adjustRightInd w:val="0"/>
              <w:spacing w:before="0" w:beforeAutospacing="0" w:after="0"/>
              <w:ind w:left="210" w:leftChars="100"/>
              <w:textAlignment w:val="baseline"/>
              <w:rPr>
                <w:rFonts w:ascii="Times New Roman" w:hAnsi="Times New Roman"/>
                <w:iCs/>
                <w:sz w:val="20"/>
                <w:szCs w:val="20"/>
                <w:lang w:eastAsia="zh-CN"/>
              </w:rPr>
            </w:pPr>
            <w:r>
              <w:rPr>
                <w:rFonts w:ascii="Times New Roman" w:hAnsi="Times New Roman"/>
                <w:iCs/>
                <w:sz w:val="20"/>
                <w:szCs w:val="20"/>
                <w:lang w:eastAsia="zh-CN"/>
              </w:rPr>
              <w:t xml:space="preserve">For eMTC NTN, to configure/indicate enabling/disabling of </w:t>
            </w:r>
            <w:r>
              <w:rPr>
                <w:rFonts w:ascii="Times New Roman" w:hAnsi="Times New Roman"/>
                <w:iCs/>
                <w:sz w:val="20"/>
                <w:szCs w:val="20"/>
              </w:rPr>
              <w:t xml:space="preserve">HARQ feedback </w:t>
            </w:r>
            <w:r>
              <w:rPr>
                <w:rFonts w:ascii="Times New Roman" w:hAnsi="Times New Roman"/>
                <w:iCs/>
                <w:sz w:val="20"/>
                <w:szCs w:val="20"/>
                <w:lang w:eastAsia="zh-CN"/>
              </w:rPr>
              <w:t>for downlink transmission, take Option 1 for CE Mode A.</w:t>
            </w:r>
          </w:p>
          <w:p>
            <w:pPr>
              <w:keepNext w:val="0"/>
              <w:keepLines w:val="0"/>
              <w:pageBreakBefore w:val="0"/>
              <w:widowControl/>
              <w:kinsoku/>
              <w:wordWrap/>
              <w:overflowPunct w:val="0"/>
              <w:topLinePunct w:val="0"/>
              <w:autoSpaceDE w:val="0"/>
              <w:autoSpaceDN w:val="0"/>
              <w:bidi w:val="0"/>
              <w:adjustRightInd w:val="0"/>
              <w:snapToGrid/>
              <w:spacing w:before="0" w:beforeAutospacing="0" w:after="0"/>
              <w:textAlignment w:val="baseline"/>
              <w:rPr>
                <w:rFonts w:hint="default" w:ascii="Times New Roman" w:hAnsi="Times New Roman" w:eastAsia="Malgun Gothic" w:cs="Times New Roman"/>
                <w:b/>
                <w:iCs/>
                <w:sz w:val="20"/>
                <w:szCs w:val="20"/>
              </w:rPr>
            </w:pPr>
            <w:r>
              <w:rPr>
                <w:rFonts w:hint="default" w:ascii="Times New Roman" w:hAnsi="Times New Roman" w:eastAsia="Malgun Gothic" w:cs="Times New Roman"/>
                <w:b/>
                <w:iCs/>
                <w:sz w:val="20"/>
                <w:szCs w:val="20"/>
                <w:highlight w:val="green"/>
              </w:rPr>
              <w:t>Agreement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textAlignment w:val="baseline"/>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textAlignment w:val="baseline"/>
              <w:rPr>
                <w:rFonts w:ascii="Times New Roman" w:hAnsi="Times New Roman" w:eastAsia="等线"/>
                <w:sz w:val="20"/>
                <w:szCs w:val="20"/>
                <w:lang w:eastAsia="zh-CN"/>
              </w:rPr>
            </w:pPr>
            <w:r>
              <w:rPr>
                <w:rFonts w:ascii="Times New Roman" w:hAnsi="Times New Roman" w:eastAsia="等线"/>
                <w:sz w:val="20"/>
                <w:szCs w:val="20"/>
                <w:lang w:eastAsia="zh-CN"/>
              </w:rPr>
              <w:t>Alternative 1: applies to both semi-statically HARQ enabled and disabled processes</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textAlignment w:val="baseline"/>
              <w:rPr>
                <w:rFonts w:ascii="Times New Roman" w:hAnsi="Times New Roman" w:eastAsia="等线"/>
                <w:sz w:val="20"/>
                <w:szCs w:val="20"/>
                <w:lang w:eastAsia="zh-CN"/>
              </w:rPr>
            </w:pPr>
            <w:r>
              <w:rPr>
                <w:rFonts w:ascii="Times New Roman" w:hAnsi="Times New Roman" w:eastAsia="等线"/>
                <w:sz w:val="20"/>
                <w:szCs w:val="20"/>
                <w:lang w:eastAsia="zh-CN"/>
              </w:rPr>
              <w:t>Alternative 2: only applied to semi-statically HARQ disabled processes</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textAlignment w:val="baseline"/>
              <w:rPr>
                <w:rFonts w:hint="eastAsia" w:ascii="Times New Roman" w:hAnsi="Times New Roman"/>
                <w:iCs/>
                <w:sz w:val="20"/>
                <w:szCs w:val="20"/>
                <w:lang w:val="en-US" w:eastAsia="zh-CN"/>
              </w:rPr>
            </w:pPr>
            <w:r>
              <w:rPr>
                <w:rFonts w:ascii="Times New Roman" w:hAnsi="Times New Roman" w:eastAsia="等线"/>
                <w:sz w:val="20"/>
                <w:szCs w:val="20"/>
                <w:lang w:eastAsia="zh-CN"/>
              </w:rPr>
              <w:t>Alternative 3: only applied to semi-statically HARQ enabled processes</w:t>
            </w:r>
          </w:p>
        </w:tc>
      </w:tr>
    </w:tbl>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Based on above working assumption/agreement, RAN1 supports to configure/indicate enabling/disabling of HARQ feedback for DL per HARQ process via RRC signaling or via DCI indication, and supports to override the RRC configuration via DCI indication. we think the same mechanism can be applied for downlink and uplink transmission. </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The same mechanism can be applied to configure/indicate enabling/disabling of HARQ feedback for downlink and uplink transmission, i.e. support of the configuration via RRC signaling or DCI indication per HARQ process, and support of the DCI indication to override RRC configuration.</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addition, RAN1#111 has achieved the working assumption that the additional RRC signaling to enable option 3 (i.e. DCI indication) is needed, so it is necessary to introduce a new IE in RRC signaling to indicate whether option 3 is supported or not.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beforeLines="50" w:after="120" w:afterLines="50"/>
              <w:rPr>
                <w:rFonts w:ascii="Times New Roman" w:hAnsi="Times New Roman"/>
                <w:b/>
                <w:bCs/>
                <w:iCs/>
                <w:sz w:val="20"/>
                <w:szCs w:val="20"/>
                <w:lang w:eastAsia="zh-CN"/>
              </w:rPr>
            </w:pPr>
            <w:r>
              <w:rPr>
                <w:rFonts w:ascii="Times New Roman" w:hAnsi="Times New Roman"/>
                <w:b/>
                <w:bCs/>
                <w:iCs/>
                <w:sz w:val="20"/>
                <w:szCs w:val="20"/>
                <w:highlight w:val="darkYellow"/>
                <w:lang w:eastAsia="zh-CN"/>
              </w:rPr>
              <w:t>Working assumption</w:t>
            </w:r>
          </w:p>
          <w:p>
            <w:pPr>
              <w:pStyle w:val="23"/>
              <w:rPr>
                <w:rFonts w:ascii="Times New Roman" w:hAnsi="Times New Roman" w:cs="Times New Roman"/>
                <w:sz w:val="20"/>
                <w:szCs w:val="20"/>
              </w:rPr>
            </w:pPr>
            <w:r>
              <w:rPr>
                <w:rFonts w:ascii="Times New Roman" w:hAnsi="Times New Roman" w:cs="Times New Roman"/>
                <w:sz w:val="20"/>
                <w:szCs w:val="20"/>
              </w:rPr>
              <w:t xml:space="preserve">For NB-IoT NTN and </w:t>
            </w:r>
            <w:r>
              <w:rPr>
                <w:rFonts w:ascii="Times New Roman" w:hAnsi="Times New Roman" w:cs="Times New Roman"/>
                <w:sz w:val="20"/>
                <w:szCs w:val="20"/>
                <w:lang w:eastAsia="zh-CN"/>
              </w:rPr>
              <w:t>eMTC NTN for CE Mode B</w:t>
            </w:r>
            <w:r>
              <w:rPr>
                <w:rFonts w:ascii="Times New Roman" w:hAnsi="Times New Roman" w:cs="Times New Roman"/>
                <w:sz w:val="20"/>
                <w:szCs w:val="20"/>
              </w:rPr>
              <w:t>, to configure/indicate enabling/disabling of HARQ feedback for downlink transmission:</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before="0" w:beforeAutospacing="0" w:after="0"/>
              <w:ind w:left="839" w:hanging="420"/>
              <w:textAlignment w:val="baseline"/>
              <w:rPr>
                <w:rFonts w:ascii="Times New Roman" w:hAnsi="Times New Roman"/>
                <w:sz w:val="20"/>
                <w:szCs w:val="20"/>
              </w:rPr>
            </w:pPr>
            <w:r>
              <w:rPr>
                <w:rFonts w:ascii="Times New Roman" w:hAnsi="Times New Roman"/>
                <w:sz w:val="20"/>
                <w:szCs w:val="20"/>
              </w:rPr>
              <w:t>Support Option 1 by default, and support Option 3 to override default configuration for corresponding transmission</w:t>
            </w:r>
          </w:p>
          <w:p>
            <w:pPr>
              <w:keepNext w:val="0"/>
              <w:keepLines w:val="0"/>
              <w:pageBreakBefore w:val="0"/>
              <w:widowControl/>
              <w:numPr>
                <w:ilvl w:val="1"/>
                <w:numId w:val="4"/>
              </w:numPr>
              <w:kinsoku/>
              <w:wordWrap/>
              <w:overflowPunct w:val="0"/>
              <w:topLinePunct w:val="0"/>
              <w:autoSpaceDE w:val="0"/>
              <w:autoSpaceDN w:val="0"/>
              <w:bidi w:val="0"/>
              <w:adjustRightInd w:val="0"/>
              <w:snapToGrid w:val="0"/>
              <w:spacing w:before="0" w:beforeAutospacing="0" w:after="0"/>
              <w:ind w:left="1259" w:hanging="420"/>
              <w:textAlignment w:val="baseline"/>
              <w:rPr>
                <w:rFonts w:ascii="Times New Roman" w:hAnsi="Times New Roman"/>
                <w:sz w:val="20"/>
                <w:szCs w:val="20"/>
                <w:highlight w:val="yellow"/>
              </w:rPr>
            </w:pPr>
            <w:r>
              <w:rPr>
                <w:rFonts w:ascii="Times New Roman" w:hAnsi="Times New Roman"/>
                <w:sz w:val="20"/>
                <w:szCs w:val="20"/>
                <w:highlight w:val="yellow"/>
                <w:lang w:eastAsia="zh-CN"/>
              </w:rPr>
              <w:t>Additional RRC signaling to enable Option 3</w:t>
            </w:r>
          </w:p>
          <w:p>
            <w:pPr>
              <w:keepNext w:val="0"/>
              <w:keepLines w:val="0"/>
              <w:pageBreakBefore w:val="0"/>
              <w:widowControl/>
              <w:numPr>
                <w:ilvl w:val="1"/>
                <w:numId w:val="4"/>
              </w:numPr>
              <w:kinsoku/>
              <w:wordWrap/>
              <w:overflowPunct w:val="0"/>
              <w:topLinePunct w:val="0"/>
              <w:autoSpaceDE w:val="0"/>
              <w:autoSpaceDN w:val="0"/>
              <w:bidi w:val="0"/>
              <w:adjustRightInd w:val="0"/>
              <w:snapToGrid w:val="0"/>
              <w:spacing w:before="0" w:beforeAutospacing="0" w:after="0"/>
              <w:ind w:left="1259" w:hanging="420"/>
              <w:textAlignment w:val="baseline"/>
              <w:rPr>
                <w:rFonts w:ascii="Times New Roman" w:hAnsi="Times New Roman"/>
                <w:sz w:val="20"/>
                <w:szCs w:val="20"/>
                <w:lang w:eastAsia="zh-CN"/>
              </w:rPr>
            </w:pPr>
            <w:r>
              <w:rPr>
                <w:rFonts w:ascii="Times New Roman" w:hAnsi="Times New Roman"/>
                <w:sz w:val="20"/>
                <w:szCs w:val="20"/>
              </w:rPr>
              <w:t>If</w:t>
            </w:r>
            <w:r>
              <w:rPr>
                <w:rFonts w:ascii="Times New Roman" w:hAnsi="Times New Roman"/>
                <w:sz w:val="20"/>
                <w:szCs w:val="20"/>
                <w:lang w:eastAsia="zh-CN"/>
              </w:rPr>
              <w:t xml:space="preserve"> the bitmap for option 1 is not present and if option 3 is configured then the DCI directly indicates HARQ enable/disable. Option 3 can also be configured when the bitmap for option 1 is configured.</w:t>
            </w:r>
          </w:p>
          <w:p>
            <w:pPr>
              <w:keepNext w:val="0"/>
              <w:keepLines w:val="0"/>
              <w:pageBreakBefore w:val="0"/>
              <w:widowControl/>
              <w:numPr>
                <w:ilvl w:val="1"/>
                <w:numId w:val="4"/>
              </w:numPr>
              <w:kinsoku/>
              <w:wordWrap/>
              <w:overflowPunct w:val="0"/>
              <w:topLinePunct w:val="0"/>
              <w:autoSpaceDE w:val="0"/>
              <w:autoSpaceDN w:val="0"/>
              <w:bidi w:val="0"/>
              <w:adjustRightInd w:val="0"/>
              <w:snapToGrid w:val="0"/>
              <w:spacing w:before="0" w:beforeAutospacing="0" w:after="0"/>
              <w:ind w:left="1259" w:hanging="420"/>
              <w:textAlignment w:val="baseline"/>
              <w:rPr>
                <w:rFonts w:ascii="Times New Roman" w:hAnsi="Times New Roman"/>
                <w:sz w:val="20"/>
                <w:szCs w:val="20"/>
                <w:lang w:eastAsia="zh-CN"/>
              </w:rPr>
            </w:pPr>
            <w:r>
              <w:rPr>
                <w:rFonts w:ascii="Times New Roman" w:hAnsi="Times New Roman"/>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pPr>
              <w:keepNext w:val="0"/>
              <w:keepLines w:val="0"/>
              <w:pageBreakBefore w:val="0"/>
              <w:widowControl/>
              <w:numPr>
                <w:ilvl w:val="1"/>
                <w:numId w:val="4"/>
              </w:numPr>
              <w:kinsoku/>
              <w:wordWrap/>
              <w:overflowPunct w:val="0"/>
              <w:topLinePunct w:val="0"/>
              <w:autoSpaceDE w:val="0"/>
              <w:autoSpaceDN w:val="0"/>
              <w:bidi w:val="0"/>
              <w:adjustRightInd w:val="0"/>
              <w:snapToGrid w:val="0"/>
              <w:spacing w:before="0" w:beforeAutospacing="0" w:after="0"/>
              <w:ind w:left="1259" w:hanging="420"/>
              <w:textAlignment w:val="baseline"/>
              <w:rPr>
                <w:rFonts w:ascii="Times New Roman" w:hAnsi="Times New Roman"/>
                <w:sz w:val="20"/>
                <w:szCs w:val="20"/>
              </w:rPr>
            </w:pPr>
            <w:r>
              <w:rPr>
                <w:rFonts w:ascii="Times New Roman" w:hAnsi="Times New Roman"/>
                <w:sz w:val="20"/>
                <w:szCs w:val="20"/>
                <w:lang w:eastAsia="zh-CN"/>
              </w:rPr>
              <w:t>FFS #2: whether/how to support Option 3 overriding default configuration for corresponding transmission for multiple TBs scheduled by single DCI</w:t>
            </w:r>
          </w:p>
          <w:p>
            <w:pPr>
              <w:keepNext w:val="0"/>
              <w:keepLines w:val="0"/>
              <w:pageBreakBefore w:val="0"/>
              <w:widowControl/>
              <w:kinsoku/>
              <w:wordWrap/>
              <w:overflowPunct w:val="0"/>
              <w:topLinePunct w:val="0"/>
              <w:autoSpaceDE w:val="0"/>
              <w:autoSpaceDN w:val="0"/>
              <w:bidi w:val="0"/>
              <w:adjustRightInd w:val="0"/>
              <w:spacing w:before="0" w:beforeAutospacing="0" w:after="0"/>
              <w:textAlignment w:val="baseline"/>
              <w:rPr>
                <w:rFonts w:hint="eastAsia" w:ascii="Arial" w:hAnsi="Arial" w:eastAsia="宋体" w:cs="Arial"/>
                <w:kern w:val="0"/>
                <w:sz w:val="20"/>
                <w:szCs w:val="20"/>
                <w:vertAlign w:val="baseline"/>
                <w:lang w:val="en-US" w:eastAsia="zh-CN"/>
              </w:rPr>
            </w:pPr>
            <w:r>
              <w:rPr>
                <w:rFonts w:ascii="Times New Roman" w:hAnsi="Times New Roman"/>
                <w:sz w:val="20"/>
                <w:szCs w:val="20"/>
                <w:lang w:eastAsia="zh-CN"/>
              </w:rPr>
              <w:t xml:space="preserve">For eMTC NTN, to configure/indicate enabling/disabling of </w:t>
            </w:r>
            <w:r>
              <w:rPr>
                <w:rFonts w:ascii="Times New Roman" w:hAnsi="Times New Roman"/>
                <w:sz w:val="20"/>
                <w:szCs w:val="20"/>
              </w:rPr>
              <w:t xml:space="preserve">HARQ feedback </w:t>
            </w:r>
            <w:r>
              <w:rPr>
                <w:rFonts w:ascii="Times New Roman" w:hAnsi="Times New Roman"/>
                <w:sz w:val="20"/>
                <w:szCs w:val="20"/>
                <w:lang w:eastAsia="zh-CN"/>
              </w:rPr>
              <w:t>for downlink transmission, take Option 1 for CE Mode A.</w:t>
            </w:r>
          </w:p>
        </w:tc>
      </w:tr>
    </w:tbl>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Introduce a new IE in RRC signaling to configure whether to enable the DCI  to indicate HARQ enabling/disabling.</w:t>
      </w:r>
    </w:p>
    <w:p>
      <w:pPr>
        <w:pStyle w:val="3"/>
        <w:rPr>
          <w:rFonts w:hint="default" w:ascii="Arial" w:hAnsi="Arial" w:eastAsia="等线" w:cs="Arial"/>
        </w:rPr>
      </w:pPr>
      <w:r>
        <w:rPr>
          <w:rFonts w:hint="default" w:ascii="Arial" w:hAnsi="Arial" w:eastAsia="等线" w:cs="Arial"/>
        </w:rPr>
        <w:t xml:space="preserve">In NR NTN, a </w:t>
      </w:r>
      <w:r>
        <w:rPr>
          <w:rFonts w:hint="eastAsia" w:ascii="Arial" w:hAnsi="Arial" w:eastAsia="等线" w:cs="Arial"/>
          <w:lang w:val="en-US" w:eastAsia="zh-CN"/>
        </w:rPr>
        <w:t>field</w:t>
      </w:r>
      <w:r>
        <w:rPr>
          <w:rFonts w:hint="default" w:ascii="Arial" w:hAnsi="Arial" w:eastAsia="等线" w:cs="Arial"/>
          <w:i/>
        </w:rPr>
        <w:t xml:space="preserve"> downlinkHARQ-FeedbackDisabled</w:t>
      </w:r>
      <w:r>
        <w:rPr>
          <w:rFonts w:hint="default" w:ascii="Arial" w:hAnsi="Arial" w:eastAsia="等线" w:cs="Arial"/>
        </w:rPr>
        <w:t xml:space="preserve"> in </w:t>
      </w:r>
      <w:r>
        <w:rPr>
          <w:rFonts w:hint="default" w:ascii="Arial" w:hAnsi="Arial" w:eastAsia="等线" w:cs="Arial"/>
          <w:i/>
        </w:rPr>
        <w:t>PDSCH-ServingCellConfig</w:t>
      </w:r>
      <w:r>
        <w:rPr>
          <w:rFonts w:hint="default" w:ascii="Arial" w:hAnsi="Arial" w:eastAsia="等线" w:cs="Arial"/>
        </w:rPr>
        <w:t xml:space="preserve"> IE </w:t>
      </w:r>
      <w:r>
        <w:rPr>
          <w:rFonts w:hint="eastAsia" w:ascii="Arial" w:hAnsi="Arial" w:eastAsia="等线" w:cs="Arial"/>
          <w:lang w:val="en-US" w:eastAsia="zh-CN"/>
        </w:rPr>
        <w:t xml:space="preserve">is used to disable the DL HARQ feedback per HARQ process ID, </w:t>
      </w:r>
      <w:r>
        <w:rPr>
          <w:rFonts w:hint="default" w:ascii="Arial" w:hAnsi="Arial" w:eastAsia="等线" w:cs="Arial"/>
        </w:rPr>
        <w:t xml:space="preserve">and a </w:t>
      </w:r>
      <w:r>
        <w:rPr>
          <w:rFonts w:hint="eastAsia" w:ascii="Arial" w:hAnsi="Arial" w:eastAsia="等线" w:cs="Arial"/>
          <w:lang w:val="en-US" w:eastAsia="zh-CN"/>
        </w:rPr>
        <w:t>field</w:t>
      </w:r>
      <w:r>
        <w:rPr>
          <w:rFonts w:hint="default" w:ascii="Arial" w:hAnsi="Arial" w:eastAsia="等线" w:cs="Arial"/>
          <w:i/>
        </w:rPr>
        <w:t xml:space="preserve"> UplinkHARQ-mode</w:t>
      </w:r>
      <w:r>
        <w:rPr>
          <w:rFonts w:hint="default" w:ascii="Arial" w:hAnsi="Arial" w:eastAsia="等线" w:cs="Arial"/>
        </w:rPr>
        <w:t xml:space="preserve"> in </w:t>
      </w:r>
      <w:r>
        <w:rPr>
          <w:rFonts w:hint="default" w:ascii="Arial" w:hAnsi="Arial" w:eastAsia="等线" w:cs="Arial"/>
          <w:i/>
        </w:rPr>
        <w:t>PUSCH-ServingCellConfig</w:t>
      </w:r>
      <w:r>
        <w:rPr>
          <w:rFonts w:hint="default" w:ascii="Arial" w:hAnsi="Arial" w:eastAsia="等线" w:cs="Arial"/>
        </w:rPr>
        <w:t xml:space="preserve"> IE </w:t>
      </w:r>
      <w:r>
        <w:rPr>
          <w:rFonts w:hint="eastAsia" w:ascii="Arial" w:hAnsi="Arial" w:eastAsia="等线" w:cs="Arial"/>
          <w:lang w:val="en-US" w:eastAsia="zh-CN"/>
        </w:rPr>
        <w:t>is</w:t>
      </w:r>
      <w:r>
        <w:rPr>
          <w:rFonts w:hint="default" w:ascii="Arial" w:hAnsi="Arial" w:eastAsia="等线" w:cs="Arial"/>
        </w:rPr>
        <w:t xml:space="preserve"> used to set the HARQ mode per HARQ process ID. For IoT</w:t>
      </w:r>
      <w:r>
        <w:rPr>
          <w:rFonts w:hint="eastAsia" w:ascii="Arial" w:hAnsi="Arial" w:eastAsia="等线" w:cs="Arial"/>
          <w:lang w:val="en-US" w:eastAsia="zh-CN"/>
        </w:rPr>
        <w:t>-</w:t>
      </w:r>
      <w:r>
        <w:rPr>
          <w:rFonts w:hint="default" w:ascii="Arial" w:hAnsi="Arial" w:eastAsia="等线" w:cs="Arial"/>
        </w:rPr>
        <w:t>NTN, we c</w:t>
      </w:r>
      <w:r>
        <w:rPr>
          <w:rFonts w:hint="eastAsia" w:ascii="Arial" w:hAnsi="Arial" w:eastAsia="等线" w:cs="Arial"/>
          <w:lang w:val="en-US" w:eastAsia="zh-CN"/>
        </w:rPr>
        <w:t>an</w:t>
      </w:r>
      <w:r>
        <w:rPr>
          <w:rFonts w:hint="default" w:ascii="Arial" w:hAnsi="Arial" w:eastAsia="等线" w:cs="Arial"/>
        </w:rPr>
        <w:t xml:space="preserve"> </w:t>
      </w:r>
      <w:r>
        <w:rPr>
          <w:rFonts w:hint="eastAsia" w:ascii="Arial" w:hAnsi="Arial" w:eastAsia="等线" w:cs="Arial"/>
          <w:lang w:val="en-US" w:eastAsia="zh-CN"/>
        </w:rPr>
        <w:t xml:space="preserve">introduce the similar fields to disable the DL HARQ feedback or </w:t>
      </w:r>
      <w:r>
        <w:rPr>
          <w:rFonts w:hint="default" w:ascii="Arial" w:hAnsi="Arial" w:eastAsia="等线" w:cs="Arial"/>
        </w:rPr>
        <w:t>set the HARQ mode per HARQ process ID</w:t>
      </w:r>
      <w:r>
        <w:rPr>
          <w:rFonts w:hint="eastAsia" w:ascii="Arial" w:hAnsi="Arial" w:eastAsia="等线" w:cs="Arial"/>
          <w:lang w:val="en-US" w:eastAsia="zh-CN"/>
        </w:rPr>
        <w:t>.</w:t>
      </w:r>
      <w:r>
        <w:rPr>
          <w:rFonts w:hint="default" w:ascii="Arial" w:hAnsi="Arial" w:eastAsia="等线" w:cs="Arial"/>
        </w:rPr>
        <w:t xml:space="preserve"> </w:t>
      </w:r>
    </w:p>
    <w:p>
      <w:pPr>
        <w:pStyle w:val="3"/>
        <w:rPr>
          <w:rFonts w:hint="default" w:ascii="Arial" w:hAnsi="Arial" w:cs="Arial"/>
        </w:rPr>
      </w:pPr>
      <w:r>
        <w:rPr>
          <w:rFonts w:hint="eastAsia" w:ascii="Arial" w:hAnsi="Arial" w:eastAsia="等线" w:cs="Arial"/>
          <w:lang w:val="en-US" w:eastAsia="zh-CN"/>
        </w:rPr>
        <w:t>For DL transmission</w:t>
      </w:r>
      <w:r>
        <w:rPr>
          <w:rFonts w:hint="default" w:ascii="Arial" w:hAnsi="Arial" w:eastAsia="等线" w:cs="Arial"/>
        </w:rPr>
        <w:t>,</w:t>
      </w:r>
      <w:r>
        <w:rPr>
          <w:rFonts w:hint="eastAsia" w:ascii="Arial" w:hAnsi="Arial" w:eastAsia="等线" w:cs="Arial"/>
          <w:lang w:val="en-US" w:eastAsia="zh-CN"/>
        </w:rPr>
        <w:t xml:space="preserve"> the</w:t>
      </w:r>
      <w:r>
        <w:rPr>
          <w:rFonts w:hint="default" w:ascii="Arial" w:hAnsi="Arial" w:eastAsia="等线" w:cs="Arial"/>
        </w:rPr>
        <w:t xml:space="preserve"> configuration of enabling/disabling HARQ feedback </w:t>
      </w:r>
      <w:r>
        <w:rPr>
          <w:rFonts w:hint="eastAsia" w:ascii="Arial" w:hAnsi="Arial" w:eastAsia="等线" w:cs="Arial"/>
          <w:lang w:val="en-US" w:eastAsia="zh-CN"/>
        </w:rPr>
        <w:t>can be</w:t>
      </w:r>
      <w:r>
        <w:rPr>
          <w:rFonts w:hint="default" w:ascii="Arial" w:hAnsi="Arial" w:eastAsia="等线" w:cs="Arial"/>
        </w:rPr>
        <w:t xml:space="preserve"> included in </w:t>
      </w:r>
      <w:r>
        <w:rPr>
          <w:rFonts w:hint="default" w:ascii="Arial" w:hAnsi="Arial" w:eastAsia="等线" w:cs="Arial"/>
          <w:i/>
        </w:rPr>
        <w:t>PDSCH-Config</w:t>
      </w:r>
      <w:r>
        <w:rPr>
          <w:rFonts w:hint="default" w:ascii="Arial" w:hAnsi="Arial" w:eastAsia="等线" w:cs="Arial"/>
        </w:rPr>
        <w:t xml:space="preserve"> IE and </w:t>
      </w:r>
      <w:r>
        <w:rPr>
          <w:rFonts w:hint="default" w:ascii="Arial" w:hAnsi="Arial" w:eastAsia="等线" w:cs="Arial"/>
          <w:i/>
        </w:rPr>
        <w:t>NPDSCH-Config-NB</w:t>
      </w:r>
      <w:r>
        <w:rPr>
          <w:rFonts w:hint="default" w:ascii="Arial" w:hAnsi="Arial" w:eastAsia="等线" w:cs="Arial"/>
        </w:rPr>
        <w:t xml:space="preserve"> IE</w:t>
      </w:r>
      <w:r>
        <w:rPr>
          <w:rFonts w:hint="eastAsia" w:ascii="Arial" w:hAnsi="Arial" w:eastAsia="等线" w:cs="Arial"/>
          <w:lang w:val="en-US" w:eastAsia="zh-CN"/>
        </w:rPr>
        <w:t xml:space="preserve"> for eMTC and NB-IoT</w:t>
      </w:r>
      <w:r>
        <w:rPr>
          <w:rFonts w:hint="default" w:ascii="Arial" w:hAnsi="Arial" w:eastAsia="等线" w:cs="Arial"/>
        </w:rPr>
        <w:t xml:space="preserve"> respectively</w:t>
      </w:r>
      <w:r>
        <w:rPr>
          <w:rFonts w:hint="eastAsia" w:ascii="Arial" w:hAnsi="Arial" w:eastAsia="等线" w:cs="Arial"/>
          <w:lang w:val="en-US" w:eastAsia="zh-CN"/>
        </w:rPr>
        <w:t>. For UL transmission,</w:t>
      </w:r>
      <w:r>
        <w:rPr>
          <w:rFonts w:hint="default" w:ascii="Arial" w:hAnsi="Arial" w:eastAsia="等线" w:cs="Arial"/>
        </w:rPr>
        <w:t xml:space="preserve"> </w:t>
      </w:r>
      <w:r>
        <w:rPr>
          <w:rFonts w:hint="eastAsia" w:ascii="Arial" w:hAnsi="Arial" w:eastAsia="等线" w:cs="Arial"/>
          <w:lang w:val="en-US" w:eastAsia="zh-CN"/>
        </w:rPr>
        <w:t xml:space="preserve">the </w:t>
      </w:r>
      <w:r>
        <w:rPr>
          <w:rFonts w:hint="default" w:ascii="Arial" w:hAnsi="Arial" w:cs="Arial"/>
        </w:rPr>
        <w:t xml:space="preserve">configuration of HARQ mode </w:t>
      </w:r>
      <w:r>
        <w:rPr>
          <w:rFonts w:hint="eastAsia" w:ascii="Arial" w:hAnsi="Arial" w:cs="Arial"/>
          <w:lang w:val="en-US" w:eastAsia="zh-CN"/>
        </w:rPr>
        <w:t>can be</w:t>
      </w:r>
      <w:r>
        <w:rPr>
          <w:rFonts w:hint="default" w:ascii="Arial" w:hAnsi="Arial" w:cs="Arial"/>
        </w:rPr>
        <w:t xml:space="preserve"> included in </w:t>
      </w:r>
      <w:r>
        <w:rPr>
          <w:rFonts w:hint="default" w:ascii="Arial" w:hAnsi="Arial" w:cs="Arial"/>
          <w:i/>
        </w:rPr>
        <w:t>PUSCH-Config</w:t>
      </w:r>
      <w:r>
        <w:rPr>
          <w:rFonts w:hint="default" w:ascii="Arial" w:hAnsi="Arial" w:cs="Arial"/>
        </w:rPr>
        <w:t xml:space="preserve"> </w:t>
      </w:r>
      <w:r>
        <w:rPr>
          <w:rFonts w:hint="default" w:ascii="Arial" w:hAnsi="Arial" w:eastAsia="等线" w:cs="Arial"/>
        </w:rPr>
        <w:t>IE</w:t>
      </w:r>
      <w:r>
        <w:rPr>
          <w:rFonts w:hint="default" w:ascii="Arial" w:hAnsi="Arial" w:cs="Arial"/>
        </w:rPr>
        <w:t xml:space="preserve"> and </w:t>
      </w:r>
      <w:r>
        <w:rPr>
          <w:rFonts w:hint="default" w:ascii="Arial" w:hAnsi="Arial" w:cs="Arial"/>
          <w:i/>
        </w:rPr>
        <w:t>NPUSCH-Config-NB</w:t>
      </w:r>
      <w:r>
        <w:rPr>
          <w:rFonts w:hint="default" w:ascii="Arial" w:hAnsi="Arial" w:eastAsia="等线" w:cs="Arial"/>
        </w:rPr>
        <w:t xml:space="preserve"> IE</w:t>
      </w:r>
      <w:r>
        <w:rPr>
          <w:rFonts w:hint="eastAsia" w:ascii="Arial" w:hAnsi="Arial" w:eastAsia="等线" w:cs="Arial"/>
          <w:lang w:val="en-US" w:eastAsia="zh-CN"/>
        </w:rPr>
        <w:t xml:space="preserve"> for eMTC and NB-IoT</w:t>
      </w:r>
      <w:r>
        <w:rPr>
          <w:rFonts w:hint="default" w:ascii="Arial" w:hAnsi="Arial" w:eastAsia="等线" w:cs="Arial"/>
        </w:rPr>
        <w:t xml:space="preserve"> </w:t>
      </w:r>
      <w:r>
        <w:rPr>
          <w:rFonts w:hint="default" w:ascii="Arial" w:hAnsi="Arial" w:cs="Arial"/>
        </w:rPr>
        <w:t>respectively.</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5: The configuration of enabling/disabling HARQ feedback for DL transmission can be included in </w:t>
      </w:r>
      <w:r>
        <w:rPr>
          <w:rFonts w:hint="eastAsia" w:ascii="Arial" w:hAnsi="Arial" w:eastAsia="宋体" w:cs="Arial"/>
          <w:b/>
          <w:bCs/>
          <w:i/>
          <w:iCs/>
          <w:kern w:val="0"/>
          <w:sz w:val="20"/>
          <w:szCs w:val="20"/>
          <w:lang w:val="en-US" w:eastAsia="zh-CN"/>
        </w:rPr>
        <w:t>PDSCH-Config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NPDSCH-Config-NB</w:t>
      </w:r>
      <w:r>
        <w:rPr>
          <w:rFonts w:hint="eastAsia" w:ascii="Arial" w:hAnsi="Arial" w:eastAsia="宋体" w:cs="Arial"/>
          <w:b/>
          <w:bCs/>
          <w:kern w:val="0"/>
          <w:sz w:val="20"/>
          <w:szCs w:val="20"/>
          <w:lang w:val="en-US" w:eastAsia="zh-CN"/>
        </w:rPr>
        <w:t xml:space="preserve"> IE for eMTC and NB-IoT respectively.</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6: The configuration of enabling/disabling HARQ feedback for UL transmission can be included in </w:t>
      </w:r>
      <w:r>
        <w:rPr>
          <w:rFonts w:hint="eastAsia" w:ascii="Arial" w:hAnsi="Arial" w:eastAsia="宋体" w:cs="Arial"/>
          <w:b/>
          <w:bCs/>
          <w:i/>
          <w:iCs/>
          <w:kern w:val="0"/>
          <w:sz w:val="20"/>
          <w:szCs w:val="20"/>
          <w:lang w:val="en-US" w:eastAsia="zh-CN"/>
        </w:rPr>
        <w:t>PUSCH-Config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NPUSCH-Config-NB</w:t>
      </w:r>
      <w:r>
        <w:rPr>
          <w:rFonts w:hint="eastAsia" w:ascii="Arial" w:hAnsi="Arial" w:eastAsia="宋体" w:cs="Arial"/>
          <w:b/>
          <w:bCs/>
          <w:kern w:val="0"/>
          <w:sz w:val="20"/>
          <w:szCs w:val="20"/>
          <w:lang w:val="en-US" w:eastAsia="zh-CN"/>
        </w:rPr>
        <w:t xml:space="preserve"> IE for eMTC and NB-IoT respectively.</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rPr>
        <w:t xml:space="preserve">HARQ </w:t>
      </w:r>
      <w:r>
        <w:rPr>
          <w:rFonts w:ascii="Arial" w:hAnsi="Arial" w:eastAsia="宋体" w:cs="Arial"/>
          <w:kern w:val="0"/>
          <w:sz w:val="20"/>
          <w:szCs w:val="20"/>
          <w:lang w:val="en-GB" w:eastAsia="en-US"/>
        </w:rPr>
        <w:t>enhancement</w:t>
      </w:r>
      <w:r>
        <w:rPr>
          <w:rFonts w:hint="eastAsia" w:ascii="Arial" w:hAnsi="Arial" w:eastAsia="宋体" w:cs="Arial"/>
          <w:kern w:val="0"/>
          <w:sz w:val="20"/>
          <w:szCs w:val="20"/>
        </w:rPr>
        <w:t>s for IoT-NTN</w:t>
      </w:r>
      <w:r>
        <w:rPr>
          <w:rFonts w:ascii="Arial" w:hAnsi="Arial" w:eastAsia="宋体" w:cs="Arial"/>
          <w:kern w:val="0"/>
          <w:sz w:val="20"/>
          <w:szCs w:val="20"/>
          <w:lang w:val="en-GB" w:eastAsia="en-US"/>
        </w:rPr>
        <w:t>.</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For the case where only one DL HARQ process with disabled HARQ feedback in a MAC entity of an eMTC UE, the UE will start/restart drx-inactivity timer in the subframe containing end of reception of the last PDSCH</w:t>
      </w:r>
      <w:r>
        <w:rPr>
          <w:rFonts w:hint="eastAsia" w:ascii="Arial" w:hAnsi="Arial" w:eastAsia="宋体" w:cs="Arial"/>
          <w:b/>
          <w:bCs/>
          <w:kern w:val="0"/>
          <w:sz w:val="20"/>
          <w:szCs w:val="20"/>
          <w:highlight w:val="none"/>
          <w:lang w:val="en-US" w:eastAsia="zh-CN"/>
        </w:rPr>
        <w:t xml:space="preserve"> plus 3 subframes</w:t>
      </w:r>
      <w:r>
        <w:rPr>
          <w:rFonts w:hint="eastAsia" w:ascii="Arial" w:hAnsi="Arial" w:eastAsia="宋体" w:cs="Arial"/>
          <w:b/>
          <w:bCs/>
          <w:kern w:val="0"/>
          <w:sz w:val="20"/>
          <w:szCs w:val="20"/>
          <w:lang w:val="en-US" w:eastAsia="zh-CN"/>
        </w:rPr>
        <w:t>.</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2: The decision on the additional processing time for </w:t>
      </w:r>
      <w:r>
        <w:rPr>
          <w:rFonts w:hint="default" w:ascii="Arial" w:hAnsi="Arial" w:eastAsia="宋体" w:cs="Arial"/>
          <w:b/>
          <w:bCs/>
          <w:kern w:val="0"/>
          <w:sz w:val="20"/>
          <w:szCs w:val="20"/>
        </w:rPr>
        <w:t>drx-inactivity timer</w:t>
      </w:r>
      <w:r>
        <w:rPr>
          <w:rFonts w:hint="eastAsia" w:ascii="Arial" w:hAnsi="Arial" w:eastAsia="宋体" w:cs="Arial"/>
          <w:b/>
          <w:bCs/>
          <w:kern w:val="0"/>
          <w:sz w:val="20"/>
          <w:szCs w:val="20"/>
          <w:lang w:val="en-US" w:eastAsia="zh-CN"/>
        </w:rPr>
        <w:t xml:space="preserve"> for HARQ mode B can be left</w:t>
      </w:r>
      <w:r>
        <w:rPr>
          <w:rFonts w:hint="eastAsia" w:ascii="Arial" w:hAnsi="Arial" w:eastAsia="宋体" w:cs="Arial"/>
          <w:b/>
          <w:bCs/>
          <w:kern w:val="0"/>
          <w:sz w:val="20"/>
          <w:szCs w:val="20"/>
          <w:highlight w:val="none"/>
          <w:lang w:val="en-US" w:eastAsia="zh-CN"/>
        </w:rPr>
        <w:t xml:space="preserve"> to RAN1, </w:t>
      </w:r>
      <w:r>
        <w:rPr>
          <w:rFonts w:hint="eastAsia" w:ascii="Arial" w:hAnsi="Arial" w:eastAsia="宋体" w:cs="Arial"/>
          <w:b/>
          <w:bCs/>
          <w:kern w:val="0"/>
          <w:sz w:val="20"/>
          <w:szCs w:val="20"/>
          <w:lang w:val="en-US" w:eastAsia="zh-CN"/>
        </w:rPr>
        <w:t>similarly to DL discussion.</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The same mechanism can be applied to configure/indicate enabling/disabling of HARQ feedback for downlink and uplink transmission, i.e. support of the configuration via RRC signaling or DCI indication per HARQ process, and support of the DCI indication to override RRC configuration.</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Introduce a new IE in RRC signaling to configure whether to enable the DCI  to indicate HARQ enabling/disabling.</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5: The configuration of enabling/disabling HARQ feedback for DL transmission can be included in </w:t>
      </w:r>
      <w:r>
        <w:rPr>
          <w:rFonts w:hint="eastAsia" w:ascii="Arial" w:hAnsi="Arial" w:eastAsia="宋体" w:cs="Arial"/>
          <w:b/>
          <w:bCs/>
          <w:i/>
          <w:iCs/>
          <w:kern w:val="0"/>
          <w:sz w:val="20"/>
          <w:szCs w:val="20"/>
          <w:lang w:val="en-US" w:eastAsia="zh-CN"/>
        </w:rPr>
        <w:t>PDSCH-Config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NPDSCH-Config-NB</w:t>
      </w:r>
      <w:r>
        <w:rPr>
          <w:rFonts w:hint="eastAsia" w:ascii="Arial" w:hAnsi="Arial" w:eastAsia="宋体" w:cs="Arial"/>
          <w:b/>
          <w:bCs/>
          <w:kern w:val="0"/>
          <w:sz w:val="20"/>
          <w:szCs w:val="20"/>
          <w:lang w:val="en-US" w:eastAsia="zh-CN"/>
        </w:rPr>
        <w:t xml:space="preserve"> IE for eMTC and NB-IoT respectively</w:t>
      </w:r>
      <w:bookmarkStart w:id="0" w:name="_GoBack"/>
      <w:bookmarkEnd w:id="0"/>
      <w:r>
        <w:rPr>
          <w:rFonts w:hint="eastAsia" w:ascii="Arial" w:hAnsi="Arial" w:eastAsia="宋体" w:cs="Arial"/>
          <w:b/>
          <w:bCs/>
          <w:kern w:val="0"/>
          <w:sz w:val="20"/>
          <w:szCs w:val="20"/>
          <w:lang w:val="en-US" w:eastAsia="zh-CN"/>
        </w:rPr>
        <w:t>.</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6: The configuration of enabling/disabling HARQ feedback for UL transmission can be included in </w:t>
      </w:r>
      <w:r>
        <w:rPr>
          <w:rFonts w:hint="eastAsia" w:ascii="Arial" w:hAnsi="Arial" w:eastAsia="宋体" w:cs="Arial"/>
          <w:b/>
          <w:bCs/>
          <w:i/>
          <w:iCs/>
          <w:kern w:val="0"/>
          <w:sz w:val="20"/>
          <w:szCs w:val="20"/>
          <w:lang w:val="en-US" w:eastAsia="zh-CN"/>
        </w:rPr>
        <w:t>PUSCH-Config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NPUSCH-Config-NB</w:t>
      </w:r>
      <w:r>
        <w:rPr>
          <w:rFonts w:hint="eastAsia" w:ascii="Arial" w:hAnsi="Arial" w:eastAsia="宋体" w:cs="Arial"/>
          <w:b/>
          <w:bCs/>
          <w:kern w:val="0"/>
          <w:sz w:val="20"/>
          <w:szCs w:val="20"/>
          <w:lang w:val="en-US" w:eastAsia="zh-CN"/>
        </w:rPr>
        <w:t xml:space="preserve"> IE for eMTC and NB-IoT respectively.</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RP-22</w:t>
      </w:r>
      <w:r>
        <w:rPr>
          <w:rFonts w:hint="eastAsia" w:ascii="Arial" w:hAnsi="Arial" w:eastAsia="宋体" w:cs="Arial"/>
          <w:kern w:val="0"/>
          <w:sz w:val="20"/>
          <w:szCs w:val="20"/>
        </w:rPr>
        <w:t>XXXX</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Report of 3GPP TSG RAN WG2 meeting #1</w:t>
      </w:r>
      <w:r>
        <w:rPr>
          <w:rFonts w:hint="eastAsia" w:ascii="Arial" w:hAnsi="Arial" w:eastAsia="宋体" w:cs="Arial"/>
          <w:kern w:val="0"/>
          <w:sz w:val="20"/>
          <w:szCs w:val="20"/>
          <w:lang w:val="en-US" w:eastAsia="zh-CN"/>
        </w:rPr>
        <w:t>20</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36.213 LTE; Evolved Universal Terrestrial Radio Access (E-UTRA); Physical layer procedures</w:t>
      </w:r>
    </w:p>
    <w:p>
      <w:pPr>
        <w:rPr>
          <w:lang w:val="en-GB"/>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400F36"/>
    <w:multiLevelType w:val="multilevel"/>
    <w:tmpl w:val="05400F36"/>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2">
    <w:nsid w:val="2DCAA566"/>
    <w:multiLevelType w:val="singleLevel"/>
    <w:tmpl w:val="2DCAA566"/>
    <w:lvl w:ilvl="0" w:tentative="0">
      <w:start w:val="2"/>
      <w:numFmt w:val="decimal"/>
      <w:lvlText w:val="%1"/>
      <w:lvlJc w:val="left"/>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637247E8"/>
    <w:multiLevelType w:val="multilevel"/>
    <w:tmpl w:val="637247E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760C788E"/>
    <w:multiLevelType w:val="multilevel"/>
    <w:tmpl w:val="760C7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0"/>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5147A"/>
    <w:rsid w:val="00196A53"/>
    <w:rsid w:val="001B2D58"/>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A6751"/>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31C2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2C51341"/>
    <w:rsid w:val="0312370F"/>
    <w:rsid w:val="038A1F16"/>
    <w:rsid w:val="04406F16"/>
    <w:rsid w:val="04A37BF0"/>
    <w:rsid w:val="060D08B4"/>
    <w:rsid w:val="094470AB"/>
    <w:rsid w:val="09AD4CAA"/>
    <w:rsid w:val="0A1469F1"/>
    <w:rsid w:val="0A173D8A"/>
    <w:rsid w:val="0B7552D3"/>
    <w:rsid w:val="0CC05689"/>
    <w:rsid w:val="0CD5224C"/>
    <w:rsid w:val="0D771EA7"/>
    <w:rsid w:val="0EE436A5"/>
    <w:rsid w:val="0F071C89"/>
    <w:rsid w:val="0F220B5F"/>
    <w:rsid w:val="104F2F73"/>
    <w:rsid w:val="110171B2"/>
    <w:rsid w:val="11F10CFD"/>
    <w:rsid w:val="123900DB"/>
    <w:rsid w:val="124311BD"/>
    <w:rsid w:val="124A1975"/>
    <w:rsid w:val="13392934"/>
    <w:rsid w:val="13D05981"/>
    <w:rsid w:val="13F13831"/>
    <w:rsid w:val="14E836E8"/>
    <w:rsid w:val="14FF75D3"/>
    <w:rsid w:val="155F5A4B"/>
    <w:rsid w:val="15BE553B"/>
    <w:rsid w:val="161147C5"/>
    <w:rsid w:val="16A3322F"/>
    <w:rsid w:val="17250459"/>
    <w:rsid w:val="173E75B8"/>
    <w:rsid w:val="174F4418"/>
    <w:rsid w:val="17CD5A7B"/>
    <w:rsid w:val="187A66B9"/>
    <w:rsid w:val="19935127"/>
    <w:rsid w:val="19CB2687"/>
    <w:rsid w:val="1ACB37C1"/>
    <w:rsid w:val="1B7D2F59"/>
    <w:rsid w:val="1C9133C6"/>
    <w:rsid w:val="1CB122DB"/>
    <w:rsid w:val="1DBA42E6"/>
    <w:rsid w:val="1DE55E1B"/>
    <w:rsid w:val="1EB6286D"/>
    <w:rsid w:val="1FD42756"/>
    <w:rsid w:val="20F63843"/>
    <w:rsid w:val="21012678"/>
    <w:rsid w:val="216646D4"/>
    <w:rsid w:val="219A23F8"/>
    <w:rsid w:val="2270235C"/>
    <w:rsid w:val="22B32E1B"/>
    <w:rsid w:val="23944C77"/>
    <w:rsid w:val="249D5D77"/>
    <w:rsid w:val="254D3519"/>
    <w:rsid w:val="255B7B59"/>
    <w:rsid w:val="27B70C8E"/>
    <w:rsid w:val="27E13FF4"/>
    <w:rsid w:val="28471CEA"/>
    <w:rsid w:val="28781132"/>
    <w:rsid w:val="28A83036"/>
    <w:rsid w:val="28E76E28"/>
    <w:rsid w:val="29BF17B7"/>
    <w:rsid w:val="2A413B9B"/>
    <w:rsid w:val="2B0514F7"/>
    <w:rsid w:val="2B1A7B79"/>
    <w:rsid w:val="2B4D1216"/>
    <w:rsid w:val="2C095760"/>
    <w:rsid w:val="2C4606A6"/>
    <w:rsid w:val="2C7D265B"/>
    <w:rsid w:val="2D844A12"/>
    <w:rsid w:val="2E5B62FC"/>
    <w:rsid w:val="2FC93A6E"/>
    <w:rsid w:val="30B60AE3"/>
    <w:rsid w:val="30C4636F"/>
    <w:rsid w:val="31341CC3"/>
    <w:rsid w:val="34221772"/>
    <w:rsid w:val="36B15D02"/>
    <w:rsid w:val="36F84B57"/>
    <w:rsid w:val="385B5BDA"/>
    <w:rsid w:val="38FC32F5"/>
    <w:rsid w:val="39030A9D"/>
    <w:rsid w:val="3A7A23A9"/>
    <w:rsid w:val="3CA66A58"/>
    <w:rsid w:val="3D5B3EF0"/>
    <w:rsid w:val="3DAC4E92"/>
    <w:rsid w:val="3DE74947"/>
    <w:rsid w:val="3ECD0998"/>
    <w:rsid w:val="3ED508CA"/>
    <w:rsid w:val="3EDA1B26"/>
    <w:rsid w:val="3F216650"/>
    <w:rsid w:val="3FA42170"/>
    <w:rsid w:val="3FAF36DB"/>
    <w:rsid w:val="40645361"/>
    <w:rsid w:val="406A14B3"/>
    <w:rsid w:val="41855840"/>
    <w:rsid w:val="429B4C3C"/>
    <w:rsid w:val="43146FF6"/>
    <w:rsid w:val="433204F8"/>
    <w:rsid w:val="44F46625"/>
    <w:rsid w:val="4599227F"/>
    <w:rsid w:val="45E26558"/>
    <w:rsid w:val="45EA2721"/>
    <w:rsid w:val="46770DD0"/>
    <w:rsid w:val="46FE4C6E"/>
    <w:rsid w:val="472C72C1"/>
    <w:rsid w:val="47C04462"/>
    <w:rsid w:val="47D84F8A"/>
    <w:rsid w:val="47DB6ABB"/>
    <w:rsid w:val="49A97E85"/>
    <w:rsid w:val="4AC6206F"/>
    <w:rsid w:val="4C3F10FC"/>
    <w:rsid w:val="4C79760A"/>
    <w:rsid w:val="4D746926"/>
    <w:rsid w:val="4D776224"/>
    <w:rsid w:val="4DB0556E"/>
    <w:rsid w:val="4E9E13D8"/>
    <w:rsid w:val="4EF5192E"/>
    <w:rsid w:val="4F9F5231"/>
    <w:rsid w:val="5135665F"/>
    <w:rsid w:val="514A5666"/>
    <w:rsid w:val="51CC648B"/>
    <w:rsid w:val="528B1069"/>
    <w:rsid w:val="53D170F4"/>
    <w:rsid w:val="55650B86"/>
    <w:rsid w:val="562D405C"/>
    <w:rsid w:val="56581D59"/>
    <w:rsid w:val="57057A28"/>
    <w:rsid w:val="57136566"/>
    <w:rsid w:val="57203CEA"/>
    <w:rsid w:val="58012BF4"/>
    <w:rsid w:val="58AB4E89"/>
    <w:rsid w:val="5A2F5AF5"/>
    <w:rsid w:val="5AFF7905"/>
    <w:rsid w:val="5B0B3A73"/>
    <w:rsid w:val="5B492C91"/>
    <w:rsid w:val="5B7762E7"/>
    <w:rsid w:val="5D052C1F"/>
    <w:rsid w:val="5F2F6349"/>
    <w:rsid w:val="5F600D4E"/>
    <w:rsid w:val="60D14125"/>
    <w:rsid w:val="64C14E5C"/>
    <w:rsid w:val="652E7A0E"/>
    <w:rsid w:val="660E4242"/>
    <w:rsid w:val="677038E2"/>
    <w:rsid w:val="689B5C91"/>
    <w:rsid w:val="68C4021E"/>
    <w:rsid w:val="68D5400D"/>
    <w:rsid w:val="691D3648"/>
    <w:rsid w:val="69293200"/>
    <w:rsid w:val="694347AF"/>
    <w:rsid w:val="694F06EB"/>
    <w:rsid w:val="6A091242"/>
    <w:rsid w:val="6BE35659"/>
    <w:rsid w:val="6BFE2EC1"/>
    <w:rsid w:val="6E083615"/>
    <w:rsid w:val="6E6F0BB4"/>
    <w:rsid w:val="6E9E6753"/>
    <w:rsid w:val="6F245D1C"/>
    <w:rsid w:val="6FC268FF"/>
    <w:rsid w:val="71A42B10"/>
    <w:rsid w:val="7279563C"/>
    <w:rsid w:val="732872C5"/>
    <w:rsid w:val="736577F1"/>
    <w:rsid w:val="741B0715"/>
    <w:rsid w:val="75A11A2A"/>
    <w:rsid w:val="76606718"/>
    <w:rsid w:val="76882F1E"/>
    <w:rsid w:val="7735668B"/>
    <w:rsid w:val="78317FBD"/>
    <w:rsid w:val="79097EB0"/>
    <w:rsid w:val="791F37C0"/>
    <w:rsid w:val="79C61A14"/>
    <w:rsid w:val="7A053543"/>
    <w:rsid w:val="7ABB0294"/>
    <w:rsid w:val="7C4E5B9F"/>
    <w:rsid w:val="7E1C1F3D"/>
    <w:rsid w:val="7E886BD8"/>
    <w:rsid w:val="7EA42950"/>
    <w:rsid w:val="7F1C368D"/>
    <w:rsid w:val="7F7A668F"/>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0"/>
    <w:semiHidden/>
    <w:unhideWhenUsed/>
    <w:qFormat/>
    <w:uiPriority w:val="99"/>
    <w:rPr>
      <w:rFonts w:ascii="宋体" w:eastAsia="宋体"/>
      <w:sz w:val="18"/>
      <w:szCs w:val="18"/>
    </w:rPr>
  </w:style>
  <w:style w:type="paragraph" w:styleId="3">
    <w:name w:val="Body Text"/>
    <w:basedOn w:val="1"/>
    <w:unhideWhenUsed/>
    <w:qFormat/>
    <w:uiPriority w:val="99"/>
  </w:style>
  <w:style w:type="paragraph" w:styleId="4">
    <w:name w:val="Balloon Text"/>
    <w:basedOn w:val="1"/>
    <w:link w:val="21"/>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table" w:styleId="9">
    <w:name w:val="Table Grid"/>
    <w:basedOn w:val="8"/>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qFormat/>
    <w:uiPriority w:val="99"/>
    <w:rPr>
      <w:color w:val="0000FF"/>
      <w:u w:val="single"/>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paragraph" w:customStyle="1" w:styleId="14">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5">
    <w:name w:val="TF"/>
    <w:basedOn w:val="14"/>
    <w:qFormat/>
    <w:uiPriority w:val="0"/>
    <w:pPr>
      <w:keepNext w:val="0"/>
      <w:spacing w:before="0" w:after="240"/>
    </w:pPr>
  </w:style>
  <w:style w:type="paragraph" w:styleId="16">
    <w:name w:val="List Paragraph"/>
    <w:basedOn w:val="1"/>
    <w:qFormat/>
    <w:uiPriority w:val="34"/>
    <w:pPr>
      <w:ind w:firstLine="420" w:firstLineChars="200"/>
    </w:pPr>
  </w:style>
  <w:style w:type="paragraph" w:customStyle="1" w:styleId="17">
    <w:name w:val="B1"/>
    <w:basedOn w:val="7"/>
    <w:qFormat/>
    <w:uiPriority w:val="0"/>
  </w:style>
  <w:style w:type="paragraph" w:customStyle="1" w:styleId="18">
    <w:name w:val="Doc-text2"/>
    <w:basedOn w:val="1"/>
    <w:qFormat/>
    <w:uiPriority w:val="0"/>
    <w:pPr>
      <w:tabs>
        <w:tab w:val="left" w:pos="1622"/>
      </w:tabs>
      <w:ind w:left="1622" w:hanging="363"/>
      <w:jc w:val="left"/>
    </w:pPr>
    <w:rPr>
      <w:rFonts w:eastAsia="MS Mincho"/>
      <w:szCs w:val="24"/>
    </w:rPr>
  </w:style>
  <w:style w:type="paragraph" w:customStyle="1" w:styleId="19">
    <w:name w:val="Proposal"/>
    <w:basedOn w:val="3"/>
    <w:qFormat/>
    <w:uiPriority w:val="0"/>
    <w:pPr>
      <w:tabs>
        <w:tab w:val="left" w:pos="1701"/>
      </w:tabs>
    </w:pPr>
    <w:rPr>
      <w:rFonts w:ascii="Arial" w:hAnsi="Arial" w:eastAsia="等线"/>
      <w:b/>
      <w:bCs/>
      <w:sz w:val="20"/>
    </w:rPr>
  </w:style>
  <w:style w:type="character" w:customStyle="1" w:styleId="20">
    <w:name w:val="文档结构图 Char"/>
    <w:basedOn w:val="10"/>
    <w:link w:val="2"/>
    <w:semiHidden/>
    <w:qFormat/>
    <w:uiPriority w:val="99"/>
    <w:rPr>
      <w:rFonts w:ascii="宋体" w:eastAsia="宋体"/>
      <w:kern w:val="2"/>
      <w:sz w:val="18"/>
      <w:szCs w:val="18"/>
    </w:rPr>
  </w:style>
  <w:style w:type="character" w:customStyle="1" w:styleId="21">
    <w:name w:val="批注框文本 Char"/>
    <w:basedOn w:val="10"/>
    <w:link w:val="4"/>
    <w:semiHidden/>
    <w:qFormat/>
    <w:uiPriority w:val="99"/>
    <w:rPr>
      <w:kern w:val="2"/>
      <w:sz w:val="18"/>
      <w:szCs w:val="18"/>
    </w:rPr>
  </w:style>
  <w:style w:type="paragraph" w:customStyle="1" w:styleId="22">
    <w:name w:val="TAL"/>
    <w:basedOn w:val="1"/>
    <w:qFormat/>
    <w:uiPriority w:val="0"/>
    <w:pPr>
      <w:keepNext/>
      <w:keepLines/>
      <w:spacing w:after="0"/>
    </w:pPr>
    <w:rPr>
      <w:rFonts w:ascii="Arial" w:hAnsi="Arial"/>
      <w:sz w:val="18"/>
    </w:rPr>
  </w:style>
  <w:style w:type="paragraph" w:customStyle="1" w:styleId="23">
    <w:name w:val="x_msonormal"/>
    <w:basedOn w:val="1"/>
    <w:qFormat/>
    <w:uiPriority w:val="0"/>
    <w:pPr>
      <w:overflowPunct/>
      <w:autoSpaceDE/>
      <w:autoSpaceDN/>
      <w:adjustRightInd/>
      <w:spacing w:after="0"/>
      <w:jc w:val="left"/>
      <w:textAlignment w:val="auto"/>
    </w:pPr>
    <w:rPr>
      <w:rFonts w:ascii="Calibri" w:hAnsi="Calibri" w:eastAsia="Calibri" w:cs="Calibri"/>
      <w:sz w:val="22"/>
      <w:szCs w:val="22"/>
      <w:lang w:val="en-US"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960</Words>
  <Characters>5472</Characters>
  <Lines>45</Lines>
  <Paragraphs>12</Paragraphs>
  <TotalTime>1</TotalTime>
  <ScaleCrop>false</ScaleCrop>
  <LinksUpToDate>false</LinksUpToDate>
  <CharactersWithSpaces>6420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2022-09-30T07:56:00Z</dcterms:created>
  <dc:creator>CMCC_TJY</dc:creator>
  <cp:lastModifiedBy>CMCC</cp:lastModifiedBy>
  <dcterms:modified xsi:type="dcterms:W3CDTF">2023-04-07T08:24:37Z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67F6BC2778584BCDB681F82EB858A1FE</vt:lpwstr>
  </property>
</Properties>
</file>